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84" w:rsidRDefault="00C91984" w:rsidP="00C91984">
      <w:pPr>
        <w:pStyle w:val="Heading3"/>
      </w:pPr>
      <w:bookmarkStart w:id="0" w:name="_Toc14880615"/>
      <w:r>
        <w:t>Withdrawal Policy</w:t>
      </w:r>
      <w:bookmarkEnd w:id="0"/>
    </w:p>
    <w:p w:rsidR="00C91984" w:rsidRDefault="00C91984" w:rsidP="00C91984">
      <w:pPr>
        <w:pStyle w:val="Heading4"/>
      </w:pPr>
      <w:bookmarkStart w:id="1" w:name="_Toc14880616"/>
      <w:r>
        <w:t>Withdrawal from the University</w:t>
      </w:r>
      <w:bookmarkEnd w:id="1"/>
    </w:p>
    <w:p w:rsidR="00C91984" w:rsidRDefault="00C91984" w:rsidP="00C91984">
      <w:pPr>
        <w:pStyle w:val="BodyText"/>
      </w:pPr>
      <w:r>
        <w:t xml:space="preserve">Students who wish to withdraw from the University with up to 75% completion must first notify the Office of the Registrar and follow official procedures. The grade of </w:t>
      </w:r>
      <w:r w:rsidRPr="00214E24">
        <w:rPr>
          <w:b/>
        </w:rPr>
        <w:t xml:space="preserve">W </w:t>
      </w:r>
      <w:r>
        <w:t>will be recorded for each registered course.</w:t>
      </w:r>
    </w:p>
    <w:p w:rsidR="00C91984" w:rsidRDefault="00C91984" w:rsidP="00C91984">
      <w:pPr>
        <w:pStyle w:val="BodyText"/>
      </w:pPr>
      <w:r>
        <w:t xml:space="preserve">Withdrawal from the University after 75% completion date requires consultation with the Office of the Registrar and possible referral to University Case Manager. In cases where withdrawal from the University is unavoidable, such as a medical emergency (see UNA Medical Withdrawal Policy), the grade of </w:t>
      </w:r>
      <w:r w:rsidRPr="00214E24">
        <w:rPr>
          <w:b/>
        </w:rPr>
        <w:t>W</w:t>
      </w:r>
      <w:r>
        <w:t xml:space="preserve"> will be uniformly recorded. In cases where withdrawal from the University is optional, the student will receive the grades earned in each course.</w:t>
      </w:r>
    </w:p>
    <w:p w:rsidR="00C91984" w:rsidRDefault="00C91984" w:rsidP="00C91984">
      <w:pPr>
        <w:pStyle w:val="Heading4"/>
      </w:pPr>
      <w:bookmarkStart w:id="2" w:name="_Toc14880617"/>
      <w:r>
        <w:t>Medical Withdrawal</w:t>
      </w:r>
      <w:bookmarkEnd w:id="2"/>
    </w:p>
    <w:p w:rsidR="00C91984" w:rsidRDefault="00C91984" w:rsidP="00C91984">
      <w:pPr>
        <w:pStyle w:val="BodyText"/>
      </w:pPr>
      <w:r>
        <w:t>Request for a medical withdrawal (serious physical and/or psychological illness of the student) is voluntary and limited to students who have not taken a final exam or otherwise completed coursework for a final grade.</w:t>
      </w:r>
    </w:p>
    <w:p w:rsidR="00C91984" w:rsidRDefault="00C91984" w:rsidP="00C91984">
      <w:pPr>
        <w:pStyle w:val="BodyText"/>
      </w:pPr>
      <w:r>
        <w:t>A medical withdrawal is appropriate when, by recommendation of a licensed health care provider (physician, nurse practitioner or licensed mental health professional), a student cannot continue enrollment in his/her courses because of a serious physical and/or psychological condition. Because serious health conditions usually impact all courses, requests for a medical withdrawal result in a withdrawal from all classes and the University. Students are encouraged to contact their advisors, their academic deans and financial services before withdrawing from the University. Withdrawal can impact financial aid, veteran’s benefits, international student standing, and eligibility for athletes and on-campus housing.</w:t>
      </w:r>
    </w:p>
    <w:p w:rsidR="00C91984" w:rsidRDefault="00C91984" w:rsidP="00C91984">
      <w:pPr>
        <w:pStyle w:val="BodyText"/>
      </w:pPr>
      <w:r>
        <w:t xml:space="preserve">A student requesting withdrawal based on medical circumstances should complete the </w:t>
      </w:r>
      <w:hyperlink r:id="rId5" w:history="1">
        <w:r w:rsidRPr="00756803">
          <w:rPr>
            <w:rStyle w:val="Hyperlink"/>
          </w:rPr>
          <w:t>Student Request for Medical Withdrawal Form</w:t>
        </w:r>
      </w:hyperlink>
      <w:r>
        <w:t xml:space="preserve"> and submit it, along with accompanying documentation by fax or time permitting by mail to the University Case Manager. The </w:t>
      </w:r>
      <w:hyperlink r:id="rId6" w:history="1">
        <w:r w:rsidRPr="00756803">
          <w:rPr>
            <w:rStyle w:val="Hyperlink"/>
          </w:rPr>
          <w:t>Licensed Provider Recommendation for Medical Withdrawal form</w:t>
        </w:r>
      </w:hyperlink>
      <w:r>
        <w:t xml:space="preserve"> should be faxed (256-765-4235) or with time permitting mailed (University Case Manager, 1 Harrison Plaza, UNA Box 5023, Florence, AL  35632), by the provider. The student will be expected to sign a release to the provider so documentation can be verified by the University Case Manager; failure to do so will result in denial of request.</w:t>
      </w:r>
    </w:p>
    <w:p w:rsidR="00C91984" w:rsidRDefault="00C91984" w:rsidP="00C91984">
      <w:pPr>
        <w:pStyle w:val="BodyText"/>
      </w:pPr>
      <w:r>
        <w:t>Documentation will be reviewed by a committee of three persons, from the Office of Disability Support Services, University Health Services and the University Case Manager. The committee will be appointed by the Assistant Vice President for Student Affairs. The committee may approve, deny or request further documentation upon review. If further documentation is requested by the committee, the student will have three (3) business days from the date of notification via university email to provide requested documentation.</w:t>
      </w:r>
    </w:p>
    <w:p w:rsidR="00C91984" w:rsidRDefault="00C91984" w:rsidP="00C91984">
      <w:pPr>
        <w:pStyle w:val="BodyText"/>
      </w:pPr>
      <w:r>
        <w:t xml:space="preserve">If the medical withdrawal is approved, documentation will be submitted to the Office of the Registrar regarding the student’s medical withdrawal, and the student will receive grades of </w:t>
      </w:r>
      <w:r w:rsidRPr="00214E24">
        <w:rPr>
          <w:b/>
        </w:rPr>
        <w:t>W</w:t>
      </w:r>
      <w:r>
        <w:t xml:space="preserve"> on transcripts. If the medical withdrawal is denied, the student will meet with the University Case Manager to discuss further options. The student will be notified of the committee’s decision by official university email within five (5) business days of submission of a completed application. A hold will be placed on the student’s record until they have been approved for re-enrollment; see Enrollment Following a Medical Withdrawal.</w:t>
      </w:r>
    </w:p>
    <w:p w:rsidR="00C91984" w:rsidRDefault="00C91984" w:rsidP="00C91984">
      <w:pPr>
        <w:pStyle w:val="BodyText"/>
      </w:pPr>
      <w:r>
        <w:t>Falsely attesting to the eligibility on the Student Request for Medical Withdrawal form is a violation of the Student Code of Conduct and may result in the revocation of a Medical Withdrawal and/or referral to the Office of Student Conduct.</w:t>
      </w:r>
    </w:p>
    <w:p w:rsidR="00C91984" w:rsidRDefault="00C91984" w:rsidP="00C91984">
      <w:pPr>
        <w:pStyle w:val="BodyText"/>
      </w:pPr>
      <w:r>
        <w:t>If the student’s medical condition so incapacitates the student that he/she cannot act on their own behalf, the student’s parent, legal guardian or representative should contact the University Case Manager, 256-765-4223, for assistance.</w:t>
      </w:r>
    </w:p>
    <w:p w:rsidR="00C91984" w:rsidRDefault="00C91984" w:rsidP="00C91984">
      <w:pPr>
        <w:pStyle w:val="Heading4"/>
      </w:pPr>
      <w:bookmarkStart w:id="3" w:name="_Toc14880618"/>
      <w:r>
        <w:t>Enrollment Following A Medical Withdrawal</w:t>
      </w:r>
      <w:bookmarkEnd w:id="3"/>
    </w:p>
    <w:p w:rsidR="00C91984" w:rsidRDefault="00C91984" w:rsidP="00C91984">
      <w:pPr>
        <w:pStyle w:val="BodyText"/>
      </w:pPr>
      <w:r>
        <w:t xml:space="preserve">Students with plans to enroll in subsequent semesters or summer terms following a medical withdrawal will be required to submit medical documentation from a licensed health care provider, </w:t>
      </w:r>
      <w:hyperlink r:id="rId7" w:history="1">
        <w:r w:rsidRPr="00756803">
          <w:rPr>
            <w:rStyle w:val="Hyperlink"/>
          </w:rPr>
          <w:t>Licensed Provider Recommendation for Return to Campus (Medical Clearance)</w:t>
        </w:r>
      </w:hyperlink>
      <w:r>
        <w:t xml:space="preserve">, which indicates readiness to return to an academic environment. The student will be expected to sign a release for the treating physician/facility to the </w:t>
      </w:r>
      <w:r>
        <w:lastRenderedPageBreak/>
        <w:t>University Case Manager for verification purposes; failure to do so will result in denial of request. Additionally, academic units reserve the right to request further documentation and/or other requirements specific to the student. All documentation will be submitted to the University Case Manager, reviewed by the committee and kept confidential. This information should be submitted ten (10) business days prior to the start of the semester in which the student wishes to enroll. A hold will be place on the student’s registration until this documentation is submitted. If the student has already registered for the following semester, the schedule will be dropped if documentation is not submitted by a specified date and/or the student has not contacted the University Case Manager.</w:t>
      </w:r>
    </w:p>
    <w:p w:rsidR="00C91984" w:rsidRDefault="00C91984" w:rsidP="00C91984">
      <w:pPr>
        <w:pStyle w:val="BodyText"/>
      </w:pPr>
      <w:r>
        <w:t>The student may be required to fulfill additional requirements set forth by the committee and/or the University CARE Team to promote the student’s success and continued community safety. Falsely attesting to the eligibility on the Student Request for Medical Withdrawal form is a violation of the Student Code of Conduct and may result in the revocation of a medical Withdrawal and/or referral to the Office of Student Conduct.</w:t>
      </w:r>
    </w:p>
    <w:p w:rsidR="00C91984" w:rsidRDefault="00C91984" w:rsidP="00C91984">
      <w:pPr>
        <w:pStyle w:val="Heading5"/>
      </w:pPr>
      <w:bookmarkStart w:id="4" w:name="_Toc14880620"/>
      <w:bookmarkStart w:id="5" w:name="_GoBack"/>
      <w:bookmarkEnd w:id="5"/>
      <w:r>
        <w:t>Notes and Exceptions:</w:t>
      </w:r>
      <w:bookmarkEnd w:id="4"/>
    </w:p>
    <w:p w:rsidR="00C91984" w:rsidRDefault="00C91984" w:rsidP="00C91984">
      <w:pPr>
        <w:pStyle w:val="BodyText"/>
        <w:numPr>
          <w:ilvl w:val="0"/>
          <w:numId w:val="1"/>
        </w:numPr>
        <w:ind w:left="720"/>
      </w:pPr>
      <w:r>
        <w:t xml:space="preserve">In determining the scholastic standing of a student who has officially withdrawn from the University or from one or more courses, a grade of </w:t>
      </w:r>
      <w:r w:rsidRPr="00214E24">
        <w:rPr>
          <w:b/>
        </w:rPr>
        <w:t>W</w:t>
      </w:r>
      <w:r w:rsidRPr="008768B4">
        <w:t xml:space="preserve"> is </w:t>
      </w:r>
      <w:r>
        <w:t xml:space="preserve">not charged as work attempted and are not awarded quality point credit. Incomplete work must be made up in the following semester (fall, spring). An </w:t>
      </w:r>
      <w:r w:rsidRPr="00214E24">
        <w:rPr>
          <w:b/>
        </w:rPr>
        <w:t>I</w:t>
      </w:r>
      <w:r>
        <w:t xml:space="preserve">ncomplete which has not been removed within the period prescribed automatically becomes an </w:t>
      </w:r>
      <w:r w:rsidRPr="00214E24">
        <w:rPr>
          <w:b/>
        </w:rPr>
        <w:t>F</w:t>
      </w:r>
      <w:r>
        <w:t>.</w:t>
      </w:r>
    </w:p>
    <w:p w:rsidR="00C91984" w:rsidRDefault="00C91984" w:rsidP="00C91984">
      <w:pPr>
        <w:pStyle w:val="BodyText"/>
        <w:numPr>
          <w:ilvl w:val="0"/>
          <w:numId w:val="1"/>
        </w:numPr>
        <w:ind w:left="720"/>
      </w:pPr>
      <w:r>
        <w:t xml:space="preserve">The policy does not apply to clinical courses taken in the Anderson College of Nursing. Students who are failing clinical in the Anderson College of Nursing at the time they withdraw from the class will receive an </w:t>
      </w:r>
      <w:r w:rsidRPr="00214E24">
        <w:rPr>
          <w:b/>
        </w:rPr>
        <w:t>F</w:t>
      </w:r>
      <w:r>
        <w:t xml:space="preserve"> for that class.</w:t>
      </w:r>
    </w:p>
    <w:p w:rsidR="00C91984" w:rsidRDefault="00C91984" w:rsidP="00C91984">
      <w:pPr>
        <w:pStyle w:val="BodyText"/>
        <w:numPr>
          <w:ilvl w:val="0"/>
          <w:numId w:val="1"/>
        </w:numPr>
        <w:ind w:left="720"/>
      </w:pPr>
      <w:r>
        <w:t>The policy does not apply to students who have committed academic dishonesty in the course in question. A student will not be allowed to withdraw from a course in which he or she has committed academic dishonesty. If a student is accused of academic dishonesty, he or she will not be allowed to withdraw from the course while the case is pending.</w:t>
      </w:r>
    </w:p>
    <w:p w:rsidR="00C91984" w:rsidRDefault="00C91984" w:rsidP="00C91984">
      <w:pPr>
        <w:pStyle w:val="BodyText"/>
        <w:numPr>
          <w:ilvl w:val="0"/>
          <w:numId w:val="1"/>
        </w:numPr>
        <w:ind w:left="720"/>
      </w:pPr>
      <w:r>
        <w:t>A student may not withdraw from a class if he or she has exceeded the allowed number of absences for a particular course without consent from the instructor. A faculty member’s attendance policy supersedes the Withdrawal from a Course policy.</w:t>
      </w:r>
    </w:p>
    <w:p w:rsidR="00C91984" w:rsidRDefault="00C91984" w:rsidP="00C91984">
      <w:pPr>
        <w:pStyle w:val="BodyText"/>
        <w:numPr>
          <w:ilvl w:val="0"/>
          <w:numId w:val="1"/>
        </w:numPr>
        <w:ind w:left="720"/>
      </w:pPr>
      <w:r>
        <w:t>Students who are called to active military service during an academic term may choose one of the following options:</w:t>
      </w:r>
    </w:p>
    <w:p w:rsidR="00C91984" w:rsidRDefault="00C91984" w:rsidP="00C91984">
      <w:pPr>
        <w:pStyle w:val="ListParagraph"/>
        <w:numPr>
          <w:ilvl w:val="0"/>
          <w:numId w:val="2"/>
        </w:numPr>
      </w:pPr>
      <w:r>
        <w:t>The student may request retroactive withdrawal to the beginning of the semester with a full refund of tuition and fees.</w:t>
      </w:r>
    </w:p>
    <w:p w:rsidR="00C91984" w:rsidRDefault="00C91984" w:rsidP="00C91984">
      <w:pPr>
        <w:pStyle w:val="ListParagraph"/>
        <w:numPr>
          <w:ilvl w:val="0"/>
          <w:numId w:val="2"/>
        </w:numPr>
      </w:pPr>
      <w:r>
        <w:t>If at least 75% of the term has been completed, the student may request that the faculty member assign a grade for the course based on the work completed, but the final grading decision is left to the faculty member.</w:t>
      </w:r>
    </w:p>
    <w:p w:rsidR="00C91984" w:rsidRDefault="00C91984" w:rsidP="00C91984">
      <w:pPr>
        <w:pStyle w:val="ListParagraph"/>
        <w:numPr>
          <w:ilvl w:val="0"/>
          <w:numId w:val="2"/>
        </w:numPr>
      </w:pPr>
      <w:r>
        <w:t xml:space="preserve">A student may be assigned a grade of </w:t>
      </w:r>
      <w:r w:rsidRPr="00684AD6">
        <w:rPr>
          <w:b/>
        </w:rPr>
        <w:t>I</w:t>
      </w:r>
      <w:r>
        <w:t xml:space="preserve"> and will be subject to university policies regarding the disposition of the Incomplete.</w:t>
      </w:r>
    </w:p>
    <w:p w:rsidR="00C91984" w:rsidRDefault="00C91984" w:rsidP="00C91984">
      <w:pPr>
        <w:pStyle w:val="BodyText"/>
        <w:ind w:left="720"/>
      </w:pPr>
    </w:p>
    <w:p w:rsidR="00C91984" w:rsidRDefault="00C91984" w:rsidP="00C91984">
      <w:pPr>
        <w:jc w:val="center"/>
        <w:rPr>
          <w:sz w:val="20"/>
        </w:rPr>
      </w:pPr>
      <w:r>
        <w:rPr>
          <w:sz w:val="20"/>
        </w:rPr>
        <w:t>Policy Approved by Shared Governance Executive Committee on March 20, 2019</w:t>
      </w:r>
    </w:p>
    <w:p w:rsidR="00C91984" w:rsidRDefault="00C91984" w:rsidP="00C91984">
      <w:pPr>
        <w:jc w:val="center"/>
        <w:rPr>
          <w:sz w:val="20"/>
        </w:rPr>
      </w:pPr>
    </w:p>
    <w:p w:rsidR="00C91984" w:rsidRPr="00890FC0" w:rsidRDefault="00C91984" w:rsidP="00C91984">
      <w:pPr>
        <w:jc w:val="center"/>
        <w:rPr>
          <w:sz w:val="20"/>
        </w:rPr>
      </w:pPr>
      <w:r>
        <w:rPr>
          <w:sz w:val="20"/>
        </w:rPr>
        <w:t>Policy Implemented on August 1, 2019</w:t>
      </w:r>
    </w:p>
    <w:p w:rsidR="001139A5" w:rsidRDefault="001139A5"/>
    <w:sectPr w:rsidR="001139A5" w:rsidSect="001F5E34">
      <w:pgSz w:w="12240" w:h="15840" w:code="1"/>
      <w:pgMar w:top="1440" w:right="1440" w:bottom="1440" w:left="1440" w:header="0" w:footer="432"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D0A"/>
    <w:multiLevelType w:val="hybridMultilevel"/>
    <w:tmpl w:val="CA8CEF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42129"/>
    <w:multiLevelType w:val="hybridMultilevel"/>
    <w:tmpl w:val="2A544A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84"/>
    <w:rsid w:val="001139A5"/>
    <w:rsid w:val="001F5E34"/>
    <w:rsid w:val="004F4D24"/>
    <w:rsid w:val="005A39F4"/>
    <w:rsid w:val="007167E1"/>
    <w:rsid w:val="00A87769"/>
    <w:rsid w:val="00C9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73105-15F1-4F8C-9B26-3E399E8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1984"/>
    <w:pPr>
      <w:widowControl w:val="0"/>
      <w:autoSpaceDE w:val="0"/>
      <w:autoSpaceDN w:val="0"/>
      <w:adjustRightInd w:val="0"/>
      <w:ind w:left="202"/>
    </w:pPr>
    <w:rPr>
      <w:rFonts w:ascii="Times New Roman" w:eastAsia="Times New Roman" w:hAnsi="Times New Roman" w:cs="Times New Roman"/>
      <w:w w:val="102"/>
    </w:rPr>
  </w:style>
  <w:style w:type="paragraph" w:styleId="Heading3">
    <w:name w:val="heading 3"/>
    <w:basedOn w:val="Normal"/>
    <w:next w:val="Normal"/>
    <w:link w:val="Heading3Char"/>
    <w:autoRedefine/>
    <w:uiPriority w:val="1"/>
    <w:qFormat/>
    <w:rsid w:val="00C91984"/>
    <w:pPr>
      <w:spacing w:before="89" w:line="338" w:lineRule="exact"/>
      <w:outlineLvl w:val="2"/>
    </w:pPr>
    <w:rPr>
      <w:rFonts w:ascii="Gill Sans MT" w:hAnsi="Gill Sans MT" w:cs="Gill Sans MT"/>
      <w:b/>
      <w:bCs/>
      <w:sz w:val="32"/>
      <w:szCs w:val="30"/>
    </w:rPr>
  </w:style>
  <w:style w:type="paragraph" w:styleId="Heading4">
    <w:name w:val="heading 4"/>
    <w:basedOn w:val="Normal"/>
    <w:next w:val="Normal"/>
    <w:link w:val="Heading4Char"/>
    <w:autoRedefine/>
    <w:uiPriority w:val="1"/>
    <w:qFormat/>
    <w:rsid w:val="00C91984"/>
    <w:pPr>
      <w:spacing w:before="120"/>
      <w:outlineLvl w:val="3"/>
    </w:pPr>
    <w:rPr>
      <w:rFonts w:ascii="Gill Sans MT" w:hAnsi="Gill Sans MT" w:cs="Gill Sans MT"/>
      <w:sz w:val="28"/>
      <w:szCs w:val="30"/>
    </w:rPr>
  </w:style>
  <w:style w:type="paragraph" w:styleId="Heading5">
    <w:name w:val="heading 5"/>
    <w:basedOn w:val="Heading7"/>
    <w:next w:val="Normal"/>
    <w:link w:val="Heading5Char"/>
    <w:autoRedefine/>
    <w:uiPriority w:val="1"/>
    <w:qFormat/>
    <w:rsid w:val="00C91984"/>
    <w:pPr>
      <w:keepNext w:val="0"/>
      <w:keepLines w:val="0"/>
      <w:kinsoku w:val="0"/>
      <w:overflowPunct w:val="0"/>
      <w:spacing w:before="120" w:after="60"/>
      <w:outlineLvl w:val="4"/>
    </w:pPr>
    <w:rPr>
      <w:rFonts w:ascii="Arial Rounded MT Bold" w:eastAsia="Times New Roman" w:hAnsi="Arial Rounded MT Bold" w:cs="Arial"/>
      <w:b/>
      <w:bCs/>
      <w:i w:val="0"/>
      <w:iCs w:val="0"/>
      <w:color w:val="4C4D4F"/>
      <w:w w:val="92"/>
      <w:sz w:val="20"/>
      <w:szCs w:val="19"/>
    </w:rPr>
  </w:style>
  <w:style w:type="paragraph" w:styleId="Heading7">
    <w:name w:val="heading 7"/>
    <w:basedOn w:val="Normal"/>
    <w:next w:val="Normal"/>
    <w:link w:val="Heading7Char"/>
    <w:uiPriority w:val="9"/>
    <w:semiHidden/>
    <w:unhideWhenUsed/>
    <w:qFormat/>
    <w:rsid w:val="00C9198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91984"/>
    <w:rPr>
      <w:rFonts w:ascii="Gill Sans MT" w:eastAsia="Times New Roman" w:hAnsi="Gill Sans MT" w:cs="Gill Sans MT"/>
      <w:b/>
      <w:bCs/>
      <w:w w:val="102"/>
      <w:sz w:val="32"/>
      <w:szCs w:val="30"/>
    </w:rPr>
  </w:style>
  <w:style w:type="character" w:customStyle="1" w:styleId="Heading4Char">
    <w:name w:val="Heading 4 Char"/>
    <w:basedOn w:val="DefaultParagraphFont"/>
    <w:link w:val="Heading4"/>
    <w:uiPriority w:val="1"/>
    <w:rsid w:val="00C91984"/>
    <w:rPr>
      <w:rFonts w:ascii="Gill Sans MT" w:eastAsia="Times New Roman" w:hAnsi="Gill Sans MT" w:cs="Gill Sans MT"/>
      <w:w w:val="102"/>
      <w:sz w:val="28"/>
      <w:szCs w:val="30"/>
    </w:rPr>
  </w:style>
  <w:style w:type="character" w:customStyle="1" w:styleId="Heading5Char">
    <w:name w:val="Heading 5 Char"/>
    <w:basedOn w:val="DefaultParagraphFont"/>
    <w:link w:val="Heading5"/>
    <w:uiPriority w:val="1"/>
    <w:rsid w:val="00C91984"/>
    <w:rPr>
      <w:rFonts w:ascii="Arial Rounded MT Bold" w:eastAsia="Times New Roman" w:hAnsi="Arial Rounded MT Bold" w:cs="Arial"/>
      <w:b/>
      <w:bCs/>
      <w:color w:val="4C4D4F"/>
      <w:w w:val="92"/>
      <w:sz w:val="20"/>
      <w:szCs w:val="19"/>
    </w:rPr>
  </w:style>
  <w:style w:type="paragraph" w:styleId="BodyText">
    <w:name w:val="Body Text"/>
    <w:basedOn w:val="Normal"/>
    <w:link w:val="BodyTextChar"/>
    <w:autoRedefine/>
    <w:uiPriority w:val="1"/>
    <w:qFormat/>
    <w:rsid w:val="00C91984"/>
    <w:pPr>
      <w:kinsoku w:val="0"/>
      <w:overflowPunct w:val="0"/>
      <w:spacing w:before="60" w:after="60" w:line="250" w:lineRule="auto"/>
    </w:pPr>
    <w:rPr>
      <w:color w:val="231F20"/>
      <w:sz w:val="20"/>
      <w:szCs w:val="19"/>
    </w:rPr>
  </w:style>
  <w:style w:type="character" w:customStyle="1" w:styleId="BodyTextChar">
    <w:name w:val="Body Text Char"/>
    <w:basedOn w:val="DefaultParagraphFont"/>
    <w:link w:val="BodyText"/>
    <w:uiPriority w:val="1"/>
    <w:rsid w:val="00C91984"/>
    <w:rPr>
      <w:rFonts w:ascii="Times New Roman" w:eastAsia="Times New Roman" w:hAnsi="Times New Roman" w:cs="Times New Roman"/>
      <w:color w:val="231F20"/>
      <w:w w:val="102"/>
      <w:sz w:val="20"/>
      <w:szCs w:val="19"/>
    </w:rPr>
  </w:style>
  <w:style w:type="paragraph" w:styleId="ListParagraph">
    <w:name w:val="List Paragraph"/>
    <w:basedOn w:val="Normal"/>
    <w:uiPriority w:val="34"/>
    <w:qFormat/>
    <w:rsid w:val="00C91984"/>
    <w:pPr>
      <w:ind w:left="561" w:hanging="187"/>
    </w:pPr>
    <w:rPr>
      <w:sz w:val="20"/>
      <w:szCs w:val="24"/>
    </w:rPr>
  </w:style>
  <w:style w:type="character" w:styleId="Hyperlink">
    <w:name w:val="Hyperlink"/>
    <w:uiPriority w:val="99"/>
    <w:unhideWhenUsed/>
    <w:rsid w:val="00C91984"/>
    <w:rPr>
      <w:rFonts w:cs="Times New Roman"/>
      <w:color w:val="0563C1"/>
      <w:u w:val="single"/>
    </w:rPr>
  </w:style>
  <w:style w:type="character" w:customStyle="1" w:styleId="Heading7Char">
    <w:name w:val="Heading 7 Char"/>
    <w:basedOn w:val="DefaultParagraphFont"/>
    <w:link w:val="Heading7"/>
    <w:uiPriority w:val="9"/>
    <w:semiHidden/>
    <w:rsid w:val="00C91984"/>
    <w:rPr>
      <w:rFonts w:asciiTheme="majorHAnsi" w:eastAsiaTheme="majorEastAsia" w:hAnsiTheme="majorHAnsi" w:cstheme="majorBidi"/>
      <w:i/>
      <w:iCs/>
      <w:color w:val="1F4D78" w:themeColor="accent1" w:themeShade="7F"/>
      <w:w w:val="10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a.edu/case/medical-withdrawa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edu/case/medical-withdrawal/index.html" TargetMode="External"/><Relationship Id="rId5" Type="http://schemas.openxmlformats.org/officeDocument/2006/relationships/hyperlink" Target="https://www.una.edu/case/medical-withdrawal/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Allen</dc:creator>
  <cp:keywords/>
  <dc:description/>
  <cp:lastModifiedBy>Underwood, Holly Lawson</cp:lastModifiedBy>
  <cp:revision>4</cp:revision>
  <dcterms:created xsi:type="dcterms:W3CDTF">2019-07-30T14:08:00Z</dcterms:created>
  <dcterms:modified xsi:type="dcterms:W3CDTF">2021-02-01T16:17:00Z</dcterms:modified>
</cp:coreProperties>
</file>