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29E7" w14:textId="77777777" w:rsidR="005F4732" w:rsidRPr="005F273D" w:rsidRDefault="00C5239C" w:rsidP="007C26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273D">
        <w:rPr>
          <w:rFonts w:ascii="Times New Roman" w:hAnsi="Times New Roman" w:cs="Times New Roman"/>
          <w:b/>
          <w:sz w:val="24"/>
          <w:szCs w:val="24"/>
        </w:rPr>
        <w:t>Int</w:t>
      </w:r>
      <w:r w:rsidR="00B91267" w:rsidRPr="005F273D">
        <w:rPr>
          <w:rFonts w:ascii="Times New Roman" w:hAnsi="Times New Roman" w:cs="Times New Roman"/>
          <w:b/>
          <w:sz w:val="24"/>
          <w:szCs w:val="24"/>
        </w:rPr>
        <w:t xml:space="preserve">ernship: Appeal to Take Additional </w:t>
      </w:r>
      <w:r w:rsidRPr="005F273D">
        <w:rPr>
          <w:rFonts w:ascii="Times New Roman" w:hAnsi="Times New Roman" w:cs="Times New Roman"/>
          <w:b/>
          <w:sz w:val="24"/>
          <w:szCs w:val="24"/>
        </w:rPr>
        <w:t>Coursework Coinciding With Internship Hours</w:t>
      </w:r>
    </w:p>
    <w:p w14:paraId="7AA567C5" w14:textId="5CDBEF52" w:rsidR="0023638D" w:rsidRDefault="0023638D" w:rsidP="007C2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departmental policy prohibits students completing a 12 credit hour internship from taking additional courses</w:t>
      </w:r>
      <w:r w:rsidR="007C2655">
        <w:rPr>
          <w:rFonts w:ascii="Times New Roman" w:hAnsi="Times New Roman" w:cs="Times New Roman"/>
          <w:sz w:val="24"/>
          <w:szCs w:val="24"/>
        </w:rPr>
        <w:t xml:space="preserve"> during the term in which the internship is completed</w:t>
      </w:r>
      <w:r>
        <w:rPr>
          <w:rFonts w:ascii="Times New Roman" w:hAnsi="Times New Roman" w:cs="Times New Roman"/>
          <w:sz w:val="24"/>
          <w:szCs w:val="24"/>
        </w:rPr>
        <w:t xml:space="preserve">. Policy also prohibits students completing a 6 credit hour internship from taking more than 7 additional hours. </w:t>
      </w:r>
    </w:p>
    <w:p w14:paraId="368ADD23" w14:textId="7F6CC1F9" w:rsidR="00C5239C" w:rsidRDefault="00C5239C" w:rsidP="007C2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Students, having a</w:t>
      </w:r>
      <w:r w:rsidR="005F273D">
        <w:rPr>
          <w:rFonts w:ascii="Times New Roman" w:hAnsi="Times New Roman" w:cs="Times New Roman"/>
          <w:sz w:val="24"/>
          <w:szCs w:val="24"/>
        </w:rPr>
        <w:t>n overall GPA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38D">
        <w:rPr>
          <w:rFonts w:ascii="Times New Roman" w:hAnsi="Times New Roman" w:cs="Times New Roman"/>
          <w:sz w:val="24"/>
          <w:szCs w:val="24"/>
        </w:rPr>
        <w:t xml:space="preserve">≥ </w:t>
      </w:r>
      <w:r>
        <w:rPr>
          <w:rFonts w:ascii="Times New Roman" w:hAnsi="Times New Roman" w:cs="Times New Roman"/>
          <w:sz w:val="24"/>
          <w:szCs w:val="24"/>
        </w:rPr>
        <w:t>3.0, and</w:t>
      </w:r>
      <w:r w:rsidR="005F273D">
        <w:rPr>
          <w:rFonts w:ascii="Times New Roman" w:hAnsi="Times New Roman" w:cs="Times New Roman"/>
          <w:sz w:val="24"/>
          <w:szCs w:val="24"/>
        </w:rPr>
        <w:t xml:space="preserve"> in-major GPA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38D">
        <w:rPr>
          <w:rFonts w:ascii="Times New Roman" w:hAnsi="Times New Roman" w:cs="Times New Roman"/>
          <w:sz w:val="24"/>
          <w:szCs w:val="24"/>
        </w:rPr>
        <w:t xml:space="preserve">≥ </w:t>
      </w: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5F273D">
        <w:rPr>
          <w:rFonts w:ascii="Times New Roman" w:hAnsi="Times New Roman" w:cs="Times New Roman"/>
          <w:sz w:val="24"/>
          <w:szCs w:val="24"/>
        </w:rPr>
        <w:t>GPA</w:t>
      </w:r>
      <w:r>
        <w:rPr>
          <w:rFonts w:ascii="Times New Roman" w:hAnsi="Times New Roman" w:cs="Times New Roman"/>
          <w:sz w:val="24"/>
          <w:szCs w:val="24"/>
        </w:rPr>
        <w:t xml:space="preserve">, may appeal to take additional coursework </w:t>
      </w:r>
      <w:r w:rsidR="0023638D">
        <w:rPr>
          <w:rFonts w:ascii="Times New Roman" w:hAnsi="Times New Roman" w:cs="Times New Roman"/>
          <w:sz w:val="24"/>
          <w:szCs w:val="24"/>
        </w:rPr>
        <w:t>while completing their</w:t>
      </w:r>
      <w:r>
        <w:rPr>
          <w:rFonts w:ascii="Times New Roman" w:hAnsi="Times New Roman" w:cs="Times New Roman"/>
          <w:sz w:val="24"/>
          <w:szCs w:val="24"/>
        </w:rPr>
        <w:t xml:space="preserve"> internship</w:t>
      </w:r>
      <w:r w:rsidR="00986850">
        <w:rPr>
          <w:rFonts w:ascii="Times New Roman" w:hAnsi="Times New Roman" w:cs="Times New Roman"/>
          <w:sz w:val="24"/>
          <w:szCs w:val="24"/>
        </w:rPr>
        <w:t xml:space="preserve"> (see Restrictions below)</w:t>
      </w:r>
      <w:r w:rsidR="005F27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At a minimum, the student must </w:t>
      </w:r>
      <w:r w:rsidR="0023638D">
        <w:rPr>
          <w:rFonts w:ascii="Times New Roman" w:hAnsi="Times New Roman" w:cs="Times New Roman"/>
          <w:sz w:val="24"/>
          <w:szCs w:val="24"/>
        </w:rPr>
        <w:t xml:space="preserve">submit </w:t>
      </w:r>
      <w:r>
        <w:rPr>
          <w:rFonts w:ascii="Times New Roman" w:hAnsi="Times New Roman" w:cs="Times New Roman"/>
          <w:sz w:val="24"/>
          <w:szCs w:val="24"/>
        </w:rPr>
        <w:t>an appeal</w:t>
      </w:r>
      <w:r w:rsidR="0023638D">
        <w:rPr>
          <w:rFonts w:ascii="Times New Roman" w:hAnsi="Times New Roman" w:cs="Times New Roman"/>
          <w:sz w:val="24"/>
          <w:szCs w:val="24"/>
        </w:rPr>
        <w:t xml:space="preserve"> in writing or via 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655">
        <w:rPr>
          <w:rFonts w:ascii="Times New Roman" w:hAnsi="Times New Roman" w:cs="Times New Roman"/>
          <w:sz w:val="24"/>
          <w:szCs w:val="24"/>
        </w:rPr>
        <w:t xml:space="preserve">(details below) </w:t>
      </w:r>
      <w:r>
        <w:rPr>
          <w:rFonts w:ascii="Times New Roman" w:hAnsi="Times New Roman" w:cs="Times New Roman"/>
          <w:sz w:val="24"/>
          <w:szCs w:val="24"/>
        </w:rPr>
        <w:t xml:space="preserve">the semester before they are </w:t>
      </w:r>
      <w:r w:rsidR="0023638D">
        <w:rPr>
          <w:rFonts w:ascii="Times New Roman" w:hAnsi="Times New Roman" w:cs="Times New Roman"/>
          <w:sz w:val="24"/>
          <w:szCs w:val="24"/>
        </w:rPr>
        <w:t xml:space="preserve">scheduled </w:t>
      </w:r>
      <w:r>
        <w:rPr>
          <w:rFonts w:ascii="Times New Roman" w:hAnsi="Times New Roman" w:cs="Times New Roman"/>
          <w:sz w:val="24"/>
          <w:szCs w:val="24"/>
        </w:rPr>
        <w:t>to take their internship</w:t>
      </w:r>
      <w:r w:rsidR="00B91267">
        <w:rPr>
          <w:rFonts w:ascii="Times New Roman" w:hAnsi="Times New Roman" w:cs="Times New Roman"/>
          <w:sz w:val="24"/>
          <w:szCs w:val="24"/>
        </w:rPr>
        <w:t xml:space="preserve"> by the following dates:</w:t>
      </w:r>
    </w:p>
    <w:tbl>
      <w:tblPr>
        <w:tblStyle w:val="TableGrid"/>
        <w:tblW w:w="9807" w:type="dxa"/>
        <w:tblLook w:val="04A0" w:firstRow="1" w:lastRow="0" w:firstColumn="1" w:lastColumn="0" w:noHBand="0" w:noVBand="1"/>
      </w:tblPr>
      <w:tblGrid>
        <w:gridCol w:w="3055"/>
        <w:gridCol w:w="3690"/>
        <w:gridCol w:w="3062"/>
      </w:tblGrid>
      <w:tr w:rsidR="00241E41" w14:paraId="2F892C37" w14:textId="1B932095" w:rsidTr="00DB236F">
        <w:trPr>
          <w:trHeight w:val="20"/>
        </w:trPr>
        <w:tc>
          <w:tcPr>
            <w:tcW w:w="3055" w:type="dxa"/>
          </w:tcPr>
          <w:p w14:paraId="08526933" w14:textId="77777777" w:rsidR="00241E41" w:rsidRPr="005F273D" w:rsidRDefault="00241E41" w:rsidP="007C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3D">
              <w:rPr>
                <w:rFonts w:ascii="Times New Roman" w:hAnsi="Times New Roman" w:cs="Times New Roman"/>
                <w:b/>
                <w:sz w:val="24"/>
                <w:szCs w:val="24"/>
              </w:rPr>
              <w:t>Semester Intern is planned</w:t>
            </w:r>
          </w:p>
        </w:tc>
        <w:tc>
          <w:tcPr>
            <w:tcW w:w="3690" w:type="dxa"/>
          </w:tcPr>
          <w:p w14:paraId="5C9A8911" w14:textId="2493D254" w:rsidR="00241E41" w:rsidRPr="005F273D" w:rsidRDefault="00241E41" w:rsidP="00DB2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Deadline </w:t>
            </w:r>
            <w:r w:rsidR="00DB2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</w:t>
            </w:r>
            <w:r w:rsidR="00DB236F" w:rsidRPr="00DB2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Initial </w:t>
            </w:r>
            <w:r w:rsidR="000812C7" w:rsidRPr="00DB2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Meeting with Advisor </w:t>
            </w:r>
            <w:r w:rsidR="000812C7" w:rsidRPr="00DB2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Concerning Appeal </w:t>
            </w:r>
          </w:p>
        </w:tc>
        <w:tc>
          <w:tcPr>
            <w:tcW w:w="3062" w:type="dxa"/>
          </w:tcPr>
          <w:p w14:paraId="7655C293" w14:textId="677D8150" w:rsidR="00241E41" w:rsidRPr="005F273D" w:rsidRDefault="00241E41" w:rsidP="007C2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Deadline to </w:t>
            </w:r>
            <w:r w:rsidRPr="00DB2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Submit</w:t>
            </w:r>
            <w:r w:rsidRPr="00DB2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Appeal</w:t>
            </w:r>
            <w:r w:rsidR="00081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2C7" w:rsidRPr="00DB2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Paperwork</w:t>
            </w:r>
            <w:r w:rsidR="00DB236F" w:rsidRPr="00DB23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</w:p>
        </w:tc>
      </w:tr>
      <w:tr w:rsidR="00241E41" w14:paraId="468735EC" w14:textId="5316886C" w:rsidTr="00DB236F">
        <w:trPr>
          <w:trHeight w:val="20"/>
        </w:trPr>
        <w:tc>
          <w:tcPr>
            <w:tcW w:w="3055" w:type="dxa"/>
          </w:tcPr>
          <w:p w14:paraId="3C72080E" w14:textId="77777777" w:rsidR="00241E41" w:rsidRDefault="00241E41" w:rsidP="007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3690" w:type="dxa"/>
          </w:tcPr>
          <w:p w14:paraId="7DABE543" w14:textId="323C089D" w:rsidR="00241E41" w:rsidRDefault="00241E41" w:rsidP="007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24 </w:t>
            </w:r>
          </w:p>
        </w:tc>
        <w:tc>
          <w:tcPr>
            <w:tcW w:w="3062" w:type="dxa"/>
          </w:tcPr>
          <w:p w14:paraId="227C7D5D" w14:textId="68B8F285" w:rsidR="00241E41" w:rsidRDefault="00241E41" w:rsidP="007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</w:t>
            </w:r>
          </w:p>
        </w:tc>
      </w:tr>
      <w:tr w:rsidR="00241E41" w14:paraId="7D8B7E1B" w14:textId="1CE2225E" w:rsidTr="00DB236F">
        <w:trPr>
          <w:trHeight w:val="20"/>
        </w:trPr>
        <w:tc>
          <w:tcPr>
            <w:tcW w:w="3055" w:type="dxa"/>
          </w:tcPr>
          <w:p w14:paraId="4C2C7EDE" w14:textId="77777777" w:rsidR="00241E41" w:rsidRDefault="00241E41" w:rsidP="007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Summer  </w:t>
            </w:r>
          </w:p>
        </w:tc>
        <w:tc>
          <w:tcPr>
            <w:tcW w:w="3690" w:type="dxa"/>
          </w:tcPr>
          <w:p w14:paraId="620BE636" w14:textId="222B9FB3" w:rsidR="00241E41" w:rsidRDefault="00241E41" w:rsidP="007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22</w:t>
            </w:r>
          </w:p>
        </w:tc>
        <w:tc>
          <w:tcPr>
            <w:tcW w:w="3062" w:type="dxa"/>
          </w:tcPr>
          <w:p w14:paraId="2A4D31DD" w14:textId="40B2DFF1" w:rsidR="00241E41" w:rsidRDefault="00241E41" w:rsidP="007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1</w:t>
            </w:r>
          </w:p>
        </w:tc>
      </w:tr>
      <w:tr w:rsidR="00241E41" w14:paraId="138B7D50" w14:textId="6E7EAA39" w:rsidTr="00DB236F">
        <w:trPr>
          <w:trHeight w:val="20"/>
        </w:trPr>
        <w:tc>
          <w:tcPr>
            <w:tcW w:w="3055" w:type="dxa"/>
          </w:tcPr>
          <w:p w14:paraId="6B71BF80" w14:textId="77777777" w:rsidR="00241E41" w:rsidRDefault="00241E41" w:rsidP="007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  <w:tc>
          <w:tcPr>
            <w:tcW w:w="3690" w:type="dxa"/>
          </w:tcPr>
          <w:p w14:paraId="05CC8EB6" w14:textId="03B9470D" w:rsidR="00241E41" w:rsidRDefault="00241E41" w:rsidP="007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24</w:t>
            </w:r>
          </w:p>
        </w:tc>
        <w:tc>
          <w:tcPr>
            <w:tcW w:w="3062" w:type="dxa"/>
          </w:tcPr>
          <w:p w14:paraId="0C553CBA" w14:textId="5FA48409" w:rsidR="00241E41" w:rsidRDefault="00241E41" w:rsidP="007C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</w:t>
            </w:r>
          </w:p>
        </w:tc>
      </w:tr>
    </w:tbl>
    <w:p w14:paraId="69532B72" w14:textId="77777777" w:rsidR="000F1FB4" w:rsidRDefault="000F1FB4" w:rsidP="007C2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91267">
        <w:rPr>
          <w:rFonts w:ascii="Times New Roman" w:hAnsi="Times New Roman" w:cs="Times New Roman"/>
          <w:sz w:val="24"/>
          <w:szCs w:val="24"/>
        </w:rPr>
        <w:t xml:space="preserve">he appeal </w:t>
      </w:r>
      <w:r>
        <w:rPr>
          <w:rFonts w:ascii="Times New Roman" w:hAnsi="Times New Roman" w:cs="Times New Roman"/>
          <w:sz w:val="24"/>
          <w:szCs w:val="24"/>
        </w:rPr>
        <w:t xml:space="preserve">must be submitted </w:t>
      </w:r>
      <w:r w:rsidR="00B91267">
        <w:rPr>
          <w:rFonts w:ascii="Times New Roman" w:hAnsi="Times New Roman" w:cs="Times New Roman"/>
          <w:sz w:val="24"/>
          <w:szCs w:val="24"/>
        </w:rPr>
        <w:t xml:space="preserve">to </w:t>
      </w:r>
      <w:r w:rsidR="005F273D">
        <w:rPr>
          <w:rFonts w:ascii="Times New Roman" w:hAnsi="Times New Roman" w:cs="Times New Roman"/>
          <w:sz w:val="24"/>
          <w:szCs w:val="24"/>
        </w:rPr>
        <w:t>the student’s</w:t>
      </w:r>
      <w:r w:rsidR="00B91267">
        <w:rPr>
          <w:rFonts w:ascii="Times New Roman" w:hAnsi="Times New Roman" w:cs="Times New Roman"/>
          <w:sz w:val="24"/>
          <w:szCs w:val="24"/>
        </w:rPr>
        <w:t xml:space="preserve"> academic advisor. The appeal must contain </w:t>
      </w:r>
      <w:r w:rsidR="00B91267">
        <w:rPr>
          <w:rFonts w:ascii="Times New Roman" w:hAnsi="Times New Roman" w:cs="Times New Roman"/>
          <w:sz w:val="24"/>
          <w:szCs w:val="24"/>
          <w:u w:val="single"/>
        </w:rPr>
        <w:t>all</w:t>
      </w:r>
      <w:r w:rsidR="00B91267">
        <w:rPr>
          <w:rFonts w:ascii="Times New Roman" w:hAnsi="Times New Roman" w:cs="Times New Roman"/>
          <w:sz w:val="24"/>
          <w:szCs w:val="24"/>
        </w:rPr>
        <w:t xml:space="preserve"> of the following documents</w:t>
      </w:r>
    </w:p>
    <w:p w14:paraId="36B695E6" w14:textId="77777777" w:rsidR="000F1FB4" w:rsidRDefault="005F273D" w:rsidP="007C265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</w:t>
      </w:r>
      <w:r w:rsidR="00B91267" w:rsidRPr="005F273D">
        <w:rPr>
          <w:rFonts w:ascii="Times New Roman" w:hAnsi="Times New Roman" w:cs="Times New Roman"/>
          <w:sz w:val="24"/>
          <w:szCs w:val="24"/>
        </w:rPr>
        <w:t>rintout of the appealing student’s Degree Works audit</w:t>
      </w:r>
    </w:p>
    <w:p w14:paraId="15A15819" w14:textId="24E2569E" w:rsidR="000F1FB4" w:rsidRDefault="005F273D" w:rsidP="007C265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91267" w:rsidRPr="005F273D">
        <w:rPr>
          <w:rFonts w:ascii="Times New Roman" w:hAnsi="Times New Roman" w:cs="Times New Roman"/>
          <w:sz w:val="24"/>
          <w:szCs w:val="24"/>
        </w:rPr>
        <w:t xml:space="preserve"> letter outlining the benefits of completing the additional coursework </w:t>
      </w:r>
      <w:r w:rsidR="007C2655">
        <w:rPr>
          <w:rFonts w:ascii="Times New Roman" w:hAnsi="Times New Roman" w:cs="Times New Roman"/>
          <w:sz w:val="24"/>
          <w:szCs w:val="24"/>
        </w:rPr>
        <w:t xml:space="preserve">concurrently with </w:t>
      </w:r>
      <w:r w:rsidR="00B91267" w:rsidRPr="005F273D">
        <w:rPr>
          <w:rFonts w:ascii="Times New Roman" w:hAnsi="Times New Roman" w:cs="Times New Roman"/>
          <w:sz w:val="24"/>
          <w:szCs w:val="24"/>
        </w:rPr>
        <w:t xml:space="preserve"> the internship</w:t>
      </w:r>
      <w:r w:rsidR="000F1FB4">
        <w:rPr>
          <w:rFonts w:ascii="Times New Roman" w:hAnsi="Times New Roman" w:cs="Times New Roman"/>
          <w:sz w:val="24"/>
          <w:szCs w:val="24"/>
        </w:rPr>
        <w:t xml:space="preserve"> and rational for the appeal</w:t>
      </w:r>
    </w:p>
    <w:p w14:paraId="69BD6BC1" w14:textId="0A2B26A3" w:rsidR="000F1FB4" w:rsidRDefault="007C2655" w:rsidP="007C265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available, a </w:t>
      </w:r>
      <w:r w:rsidR="00B91267" w:rsidRPr="005F273D">
        <w:rPr>
          <w:rFonts w:ascii="Times New Roman" w:hAnsi="Times New Roman" w:cs="Times New Roman"/>
          <w:sz w:val="24"/>
          <w:szCs w:val="24"/>
        </w:rPr>
        <w:t>detailed schedule of their internship hours</w:t>
      </w:r>
      <w:r>
        <w:rPr>
          <w:rFonts w:ascii="Times New Roman" w:hAnsi="Times New Roman" w:cs="Times New Roman"/>
          <w:sz w:val="24"/>
          <w:szCs w:val="24"/>
        </w:rPr>
        <w:t>/schedule</w:t>
      </w:r>
      <w:r w:rsidR="00B91267" w:rsidRPr="005F273D">
        <w:rPr>
          <w:rFonts w:ascii="Times New Roman" w:hAnsi="Times New Roman" w:cs="Times New Roman"/>
          <w:sz w:val="24"/>
          <w:szCs w:val="24"/>
        </w:rPr>
        <w:t xml:space="preserve"> with times designated for the student to complete their additional courses (signed by their on-site internship </w:t>
      </w:r>
      <w:r>
        <w:rPr>
          <w:rFonts w:ascii="Times New Roman" w:hAnsi="Times New Roman" w:cs="Times New Roman"/>
          <w:sz w:val="24"/>
          <w:szCs w:val="24"/>
        </w:rPr>
        <w:t>supervisor</w:t>
      </w:r>
      <w:r w:rsidR="00B91267" w:rsidRPr="005F273D">
        <w:rPr>
          <w:rFonts w:ascii="Times New Roman" w:hAnsi="Times New Roman" w:cs="Times New Roman"/>
          <w:sz w:val="24"/>
          <w:szCs w:val="24"/>
        </w:rPr>
        <w:t xml:space="preserve">), a signed letter from their internship </w:t>
      </w:r>
      <w:r>
        <w:rPr>
          <w:rFonts w:ascii="Times New Roman" w:hAnsi="Times New Roman" w:cs="Times New Roman"/>
          <w:sz w:val="24"/>
          <w:szCs w:val="24"/>
        </w:rPr>
        <w:t xml:space="preserve">supervisor stating that they are </w:t>
      </w:r>
      <w:r w:rsidR="00B91267" w:rsidRPr="005F273D">
        <w:rPr>
          <w:rFonts w:ascii="Times New Roman" w:hAnsi="Times New Roman" w:cs="Times New Roman"/>
          <w:sz w:val="24"/>
          <w:szCs w:val="24"/>
        </w:rPr>
        <w:t>aware that the student is taking additional coursework and the student is allowed to take said coursework to coincide with their internship</w:t>
      </w:r>
    </w:p>
    <w:p w14:paraId="63506866" w14:textId="345B0365" w:rsidR="00B91267" w:rsidRPr="005F273D" w:rsidRDefault="005F273D" w:rsidP="007C265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91267" w:rsidRPr="005F273D">
        <w:rPr>
          <w:rFonts w:ascii="Times New Roman" w:hAnsi="Times New Roman" w:cs="Times New Roman"/>
          <w:sz w:val="24"/>
          <w:szCs w:val="24"/>
        </w:rPr>
        <w:t xml:space="preserve"> current copy of the student’s resume, and the names dates and times of the additional courses the student will take.</w:t>
      </w:r>
    </w:p>
    <w:p w14:paraId="1EC20BA4" w14:textId="4884261E" w:rsidR="00B17A7A" w:rsidRDefault="00DB236F" w:rsidP="007C2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17A7A">
        <w:rPr>
          <w:rFonts w:ascii="Times New Roman" w:hAnsi="Times New Roman" w:cs="Times New Roman"/>
          <w:sz w:val="24"/>
          <w:szCs w:val="24"/>
        </w:rPr>
        <w:t xml:space="preserve">The student, one week after submitting </w:t>
      </w:r>
      <w:r w:rsidR="007C2655">
        <w:rPr>
          <w:rFonts w:ascii="Times New Roman" w:hAnsi="Times New Roman" w:cs="Times New Roman"/>
          <w:sz w:val="24"/>
          <w:szCs w:val="24"/>
        </w:rPr>
        <w:t xml:space="preserve">all required material, </w:t>
      </w:r>
      <w:r w:rsidR="00B17A7A">
        <w:rPr>
          <w:rFonts w:ascii="Times New Roman" w:hAnsi="Times New Roman" w:cs="Times New Roman"/>
          <w:sz w:val="24"/>
          <w:szCs w:val="24"/>
        </w:rPr>
        <w:t>must schedule a meeting with their advisor to discuss their appeal. Students may submit their initial appeal to their academic advisor NO LATER than the dates</w:t>
      </w:r>
      <w:r w:rsidR="00241E41">
        <w:rPr>
          <w:rFonts w:ascii="Times New Roman" w:hAnsi="Times New Roman" w:cs="Times New Roman"/>
          <w:sz w:val="24"/>
          <w:szCs w:val="24"/>
        </w:rPr>
        <w:t xml:space="preserve"> listed in the table above. </w:t>
      </w:r>
    </w:p>
    <w:p w14:paraId="59D6DAE8" w14:textId="0B971AA3" w:rsidR="00B17A7A" w:rsidRDefault="00B17A7A" w:rsidP="007C2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DAC">
        <w:rPr>
          <w:rFonts w:ascii="Times New Roman" w:hAnsi="Times New Roman" w:cs="Times New Roman"/>
          <w:sz w:val="24"/>
          <w:szCs w:val="24"/>
          <w:highlight w:val="yellow"/>
          <w:rPrChange w:id="1" w:author="Jones, Janet Maddox" w:date="2019-05-07T11:1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Should the academic advisor </w:t>
      </w:r>
      <w:r w:rsidR="00986850" w:rsidRPr="00C33DAC">
        <w:rPr>
          <w:rFonts w:ascii="Times New Roman" w:hAnsi="Times New Roman" w:cs="Times New Roman"/>
          <w:sz w:val="24"/>
          <w:szCs w:val="24"/>
          <w:highlight w:val="yellow"/>
          <w:rPrChange w:id="2" w:author="Jones, Janet Maddox" w:date="2019-05-07T11:16:00Z">
            <w:rPr>
              <w:rFonts w:ascii="Times New Roman" w:hAnsi="Times New Roman" w:cs="Times New Roman"/>
              <w:sz w:val="24"/>
              <w:szCs w:val="24"/>
            </w:rPr>
          </w:rPrChange>
        </w:rPr>
        <w:t>support the student’s</w:t>
      </w:r>
      <w:r w:rsidRPr="00C33DAC">
        <w:rPr>
          <w:rFonts w:ascii="Times New Roman" w:hAnsi="Times New Roman" w:cs="Times New Roman"/>
          <w:sz w:val="24"/>
          <w:szCs w:val="24"/>
          <w:highlight w:val="yellow"/>
          <w:rPrChange w:id="3" w:author="Jones, Janet Maddox" w:date="2019-05-07T11:1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appeal, a vote will open up to the department</w:t>
      </w:r>
      <w:r w:rsidR="00070F76" w:rsidRPr="00C33DAC">
        <w:rPr>
          <w:rFonts w:ascii="Times New Roman" w:hAnsi="Times New Roman" w:cs="Times New Roman"/>
          <w:sz w:val="24"/>
          <w:szCs w:val="24"/>
          <w:highlight w:val="yellow"/>
          <w:rPrChange w:id="4" w:author="Jones, Janet Maddox" w:date="2019-05-07T11:1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faculty</w:t>
      </w:r>
      <w:r w:rsidRPr="00C33DAC">
        <w:rPr>
          <w:rFonts w:ascii="Times New Roman" w:hAnsi="Times New Roman" w:cs="Times New Roman"/>
          <w:sz w:val="24"/>
          <w:szCs w:val="24"/>
          <w:highlight w:val="yellow"/>
          <w:rPrChange w:id="5" w:author="Jones, Janet Maddox" w:date="2019-05-07T11:1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. </w:t>
      </w:r>
      <w:r w:rsidR="007C2655" w:rsidRPr="00C33DAC">
        <w:rPr>
          <w:rFonts w:ascii="Times New Roman" w:hAnsi="Times New Roman" w:cs="Times New Roman"/>
          <w:sz w:val="24"/>
          <w:szCs w:val="24"/>
          <w:highlight w:val="yellow"/>
          <w:rPrChange w:id="6" w:author="Jones, Janet Maddox" w:date="2019-05-07T11:1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 favorable vote of </w:t>
      </w:r>
      <w:r w:rsidRPr="00C33DAC">
        <w:rPr>
          <w:rFonts w:ascii="Times New Roman" w:hAnsi="Times New Roman" w:cs="Times New Roman"/>
          <w:sz w:val="24"/>
          <w:szCs w:val="24"/>
          <w:highlight w:val="yellow"/>
          <w:rPrChange w:id="7" w:author="Jones, Janet Maddox" w:date="2019-05-07T11:1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51% or more of the </w:t>
      </w:r>
      <w:r w:rsidR="00070F76" w:rsidRPr="00C33DAC">
        <w:rPr>
          <w:rFonts w:ascii="Times New Roman" w:hAnsi="Times New Roman" w:cs="Times New Roman"/>
          <w:sz w:val="24"/>
          <w:szCs w:val="24"/>
          <w:highlight w:val="yellow"/>
          <w:rPrChange w:id="8" w:author="Jones, Janet Maddox" w:date="2019-05-07T11:1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voting faculty members (IE non-abstaining faculty) </w:t>
      </w:r>
      <w:r w:rsidR="007C2655" w:rsidRPr="00C33DAC">
        <w:rPr>
          <w:rFonts w:ascii="Times New Roman" w:hAnsi="Times New Roman" w:cs="Times New Roman"/>
          <w:sz w:val="24"/>
          <w:szCs w:val="24"/>
          <w:highlight w:val="yellow"/>
          <w:rPrChange w:id="9" w:author="Jones, Janet Maddox" w:date="2019-05-07T11:16:00Z">
            <w:rPr>
              <w:rFonts w:ascii="Times New Roman" w:hAnsi="Times New Roman" w:cs="Times New Roman"/>
              <w:sz w:val="24"/>
              <w:szCs w:val="24"/>
            </w:rPr>
          </w:rPrChange>
        </w:rPr>
        <w:t>is required for the</w:t>
      </w:r>
      <w:r w:rsidRPr="00C33DAC">
        <w:rPr>
          <w:rFonts w:ascii="Times New Roman" w:hAnsi="Times New Roman" w:cs="Times New Roman"/>
          <w:sz w:val="24"/>
          <w:szCs w:val="24"/>
          <w:highlight w:val="yellow"/>
          <w:rPrChange w:id="10" w:author="Jones, Janet Maddox" w:date="2019-05-07T11:1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appeal to pass. 50.9999% or less and the appeal will be denied.</w:t>
      </w:r>
    </w:p>
    <w:p w14:paraId="2298CD20" w14:textId="77777777" w:rsidR="000F1FB4" w:rsidRDefault="000F1FB4" w:rsidP="00241E41">
      <w:pPr>
        <w:pStyle w:val="Heading2"/>
      </w:pPr>
      <w:r>
        <w:t>Restrictions</w:t>
      </w:r>
      <w:r w:rsidR="00B17A7A">
        <w:tab/>
      </w:r>
    </w:p>
    <w:p w14:paraId="5B020C1B" w14:textId="77777777" w:rsidR="00B17A7A" w:rsidRDefault="000F1FB4" w:rsidP="007C2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completing a 12 credit internship</w:t>
      </w:r>
      <w:r w:rsidR="00B17A7A">
        <w:rPr>
          <w:rFonts w:ascii="Times New Roman" w:hAnsi="Times New Roman" w:cs="Times New Roman"/>
          <w:sz w:val="24"/>
          <w:szCs w:val="24"/>
        </w:rPr>
        <w:t xml:space="preserve"> may file an appeal to take </w:t>
      </w:r>
      <w:r>
        <w:rPr>
          <w:rFonts w:ascii="Times New Roman" w:hAnsi="Times New Roman" w:cs="Times New Roman"/>
          <w:sz w:val="24"/>
          <w:szCs w:val="24"/>
        </w:rPr>
        <w:t xml:space="preserve">no more than </w:t>
      </w:r>
      <w:r w:rsidR="00B17A7A">
        <w:rPr>
          <w:rFonts w:ascii="Times New Roman" w:hAnsi="Times New Roman" w:cs="Times New Roman"/>
          <w:sz w:val="24"/>
          <w:szCs w:val="24"/>
        </w:rPr>
        <w:t xml:space="preserve">two (2) courses (be these courses one hour or more) in </w:t>
      </w:r>
      <w:r w:rsidR="00B17A7A">
        <w:rPr>
          <w:rFonts w:ascii="Times New Roman" w:hAnsi="Times New Roman" w:cs="Times New Roman"/>
          <w:sz w:val="24"/>
          <w:szCs w:val="24"/>
          <w:u w:val="single"/>
        </w:rPr>
        <w:t>online format</w:t>
      </w:r>
      <w:r w:rsidR="00B17A7A">
        <w:rPr>
          <w:rFonts w:ascii="Times New Roman" w:hAnsi="Times New Roman" w:cs="Times New Roman"/>
          <w:sz w:val="24"/>
          <w:szCs w:val="24"/>
        </w:rPr>
        <w:t xml:space="preserve"> only. Hybrid, and/or traditional in person course appeals will </w:t>
      </w:r>
      <w:r w:rsidR="005F273D">
        <w:rPr>
          <w:rFonts w:ascii="Times New Roman" w:hAnsi="Times New Roman" w:cs="Times New Roman"/>
          <w:sz w:val="24"/>
          <w:szCs w:val="24"/>
        </w:rPr>
        <w:t>not be considered</w:t>
      </w:r>
      <w:r w:rsidR="00B17A7A">
        <w:rPr>
          <w:rFonts w:ascii="Times New Roman" w:hAnsi="Times New Roman" w:cs="Times New Roman"/>
          <w:sz w:val="24"/>
          <w:szCs w:val="24"/>
        </w:rPr>
        <w:t>.</w:t>
      </w:r>
    </w:p>
    <w:p w14:paraId="5F61FC18" w14:textId="741382AE" w:rsidR="00B91267" w:rsidRPr="00C5239C" w:rsidRDefault="000F1FB4" w:rsidP="007C2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17A7A">
        <w:rPr>
          <w:rFonts w:ascii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hAnsi="Times New Roman" w:cs="Times New Roman"/>
          <w:sz w:val="24"/>
          <w:szCs w:val="24"/>
        </w:rPr>
        <w:t xml:space="preserve">completing a 6 credit hour internship are permitted </w:t>
      </w:r>
      <w:r w:rsidR="00B17A7A">
        <w:rPr>
          <w:rFonts w:ascii="Times New Roman" w:hAnsi="Times New Roman" w:cs="Times New Roman"/>
          <w:sz w:val="24"/>
          <w:szCs w:val="24"/>
        </w:rPr>
        <w:t>to take up to seven (7) hours of traditional in person courses</w:t>
      </w:r>
      <w:r>
        <w:rPr>
          <w:rFonts w:ascii="Times New Roman" w:hAnsi="Times New Roman" w:cs="Times New Roman"/>
          <w:sz w:val="24"/>
          <w:szCs w:val="24"/>
        </w:rPr>
        <w:t xml:space="preserve"> (no appeal needed). Students completing a 6 credit internship</w:t>
      </w:r>
      <w:r w:rsidR="00B17A7A">
        <w:rPr>
          <w:rFonts w:ascii="Times New Roman" w:hAnsi="Times New Roman" w:cs="Times New Roman"/>
          <w:sz w:val="24"/>
          <w:szCs w:val="24"/>
        </w:rPr>
        <w:t xml:space="preserve"> may appeal to take three (3) additional hours of coursework</w:t>
      </w:r>
      <w:r w:rsidR="00650AF1">
        <w:rPr>
          <w:rFonts w:ascii="Times New Roman" w:hAnsi="Times New Roman" w:cs="Times New Roman"/>
          <w:sz w:val="24"/>
          <w:szCs w:val="24"/>
        </w:rPr>
        <w:t xml:space="preserve"> provided the additional course is online</w:t>
      </w:r>
      <w:r w:rsidR="00B17A7A">
        <w:rPr>
          <w:rFonts w:ascii="Times New Roman" w:hAnsi="Times New Roman" w:cs="Times New Roman"/>
          <w:sz w:val="24"/>
          <w:szCs w:val="24"/>
        </w:rPr>
        <w:t xml:space="preserve">. </w:t>
      </w:r>
      <w:r w:rsidR="00650AF1">
        <w:rPr>
          <w:rFonts w:ascii="Times New Roman" w:hAnsi="Times New Roman" w:cs="Times New Roman"/>
          <w:sz w:val="24"/>
          <w:szCs w:val="24"/>
        </w:rPr>
        <w:t xml:space="preserve">Students completing a 6 credit hour internship will not be allowed to register for more than 16 total credit hours during the internship. </w:t>
      </w:r>
    </w:p>
    <w:sectPr w:rsidR="00B91267" w:rsidRPr="00C5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B20C6"/>
    <w:multiLevelType w:val="hybridMultilevel"/>
    <w:tmpl w:val="EDF6AD8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ECE2E06"/>
    <w:multiLevelType w:val="hybridMultilevel"/>
    <w:tmpl w:val="ACC48884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nes, Janet Maddox">
    <w15:presenceInfo w15:providerId="AD" w15:userId="S-1-5-21-21151968-2686227855-1361090735-98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9C"/>
    <w:rsid w:val="00070F76"/>
    <w:rsid w:val="000812C7"/>
    <w:rsid w:val="000F1FB4"/>
    <w:rsid w:val="0023638D"/>
    <w:rsid w:val="00241E41"/>
    <w:rsid w:val="005F273D"/>
    <w:rsid w:val="005F4732"/>
    <w:rsid w:val="00650AF1"/>
    <w:rsid w:val="007C2655"/>
    <w:rsid w:val="00986850"/>
    <w:rsid w:val="009F44D1"/>
    <w:rsid w:val="00B17A7A"/>
    <w:rsid w:val="00B91267"/>
    <w:rsid w:val="00C33DAC"/>
    <w:rsid w:val="00C5239C"/>
    <w:rsid w:val="00DB236F"/>
    <w:rsid w:val="00E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BFE2"/>
  <w15:chartTrackingRefBased/>
  <w15:docId w15:val="{C234EAE5-4ECD-47CF-963C-F3A08D69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E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F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2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7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73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41E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8FF8B4DF86D4E91294B05B5BDC518" ma:contentTypeVersion="12" ma:contentTypeDescription="Create a new document." ma:contentTypeScope="" ma:versionID="2a569cb1df8eb8c9fd18f5bf8926aff0">
  <xsd:schema xmlns:xsd="http://www.w3.org/2001/XMLSchema" xmlns:xs="http://www.w3.org/2001/XMLSchema" xmlns:p="http://schemas.microsoft.com/office/2006/metadata/properties" xmlns:ns3="fe04bd5c-9397-4ca1-8ccc-2a32993d676c" xmlns:ns4="96e61d24-498a-4cc5-979e-32ce7d638979" targetNamespace="http://schemas.microsoft.com/office/2006/metadata/properties" ma:root="true" ma:fieldsID="77c9fc760fddc5e5827e5ef1bd323dee" ns3:_="" ns4:_="">
    <xsd:import namespace="fe04bd5c-9397-4ca1-8ccc-2a32993d676c"/>
    <xsd:import namespace="96e61d24-498a-4cc5-979e-32ce7d638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bd5c-9397-4ca1-8ccc-2a32993d6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1d24-498a-4cc5-979e-32ce7d638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EA33-DE5B-45DD-9008-6D84ABE6A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AFFE72-BD7D-4A6B-94FA-B5C776E4A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48A50-19A8-4090-A37C-46410C3F8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4bd5c-9397-4ca1-8ccc-2a32993d676c"/>
    <ds:schemaRef ds:uri="96e61d24-498a-4cc5-979e-32ce7d638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48624-42C2-4860-8CB2-F00C1821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Stocz, Michael</dc:creator>
  <cp:keywords/>
  <dc:description/>
  <cp:lastModifiedBy>Stocz, Michael</cp:lastModifiedBy>
  <cp:revision>2</cp:revision>
  <dcterms:created xsi:type="dcterms:W3CDTF">2020-12-07T20:42:00Z</dcterms:created>
  <dcterms:modified xsi:type="dcterms:W3CDTF">2020-12-07T20:42:00Z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0x0101008F08FF8B4DF86D4E91294B05B5BDC518</vt:lpwstr>
  </property>
</Properties>
</file>