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DAF5" w14:textId="77777777" w:rsidR="00D410F3" w:rsidRPr="002C23C5" w:rsidRDefault="00A82C22" w:rsidP="001075E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D410F3" w:rsidRPr="002C23C5">
        <w:rPr>
          <w:b/>
        </w:rPr>
        <w:t>Center for Writing Excellence</w:t>
      </w:r>
    </w:p>
    <w:p w14:paraId="003A9358" w14:textId="1BAB7CFC" w:rsidR="00D410F3" w:rsidRPr="002C23C5" w:rsidRDefault="009650C3" w:rsidP="00D410F3">
      <w:pPr>
        <w:jc w:val="center"/>
        <w:rPr>
          <w:b/>
        </w:rPr>
      </w:pPr>
      <w:r>
        <w:rPr>
          <w:b/>
        </w:rPr>
        <w:t>201</w:t>
      </w:r>
      <w:r w:rsidR="007B0118">
        <w:rPr>
          <w:b/>
        </w:rPr>
        <w:t>8</w:t>
      </w:r>
      <w:r w:rsidR="008C6430">
        <w:rPr>
          <w:b/>
        </w:rPr>
        <w:t xml:space="preserve"> - </w:t>
      </w:r>
      <w:r w:rsidR="00B824BE">
        <w:rPr>
          <w:b/>
        </w:rPr>
        <w:t>201</w:t>
      </w:r>
      <w:r w:rsidR="007B0118">
        <w:rPr>
          <w:b/>
        </w:rPr>
        <w:t>9</w:t>
      </w:r>
      <w:r w:rsidR="000F34CB">
        <w:rPr>
          <w:b/>
        </w:rPr>
        <w:t xml:space="preserve"> Academic Year</w:t>
      </w:r>
      <w:r w:rsidR="00D410F3" w:rsidRPr="002C23C5">
        <w:rPr>
          <w:b/>
        </w:rPr>
        <w:t xml:space="preserve"> Report</w:t>
      </w:r>
    </w:p>
    <w:p w14:paraId="62333C22" w14:textId="77777777" w:rsidR="00D410F3" w:rsidRDefault="00751B10" w:rsidP="00D410F3">
      <w:pPr>
        <w:jc w:val="center"/>
      </w:pPr>
      <w:r>
        <w:t>Dr. Kathleen Richards</w:t>
      </w:r>
    </w:p>
    <w:p w14:paraId="6296C1C9" w14:textId="77777777" w:rsidR="00D410F3" w:rsidRDefault="00D410F3" w:rsidP="00A55649"/>
    <w:p w14:paraId="4C9537A7" w14:textId="77777777" w:rsidR="00D410F3" w:rsidRPr="00352867" w:rsidRDefault="00B27B70" w:rsidP="00A55649">
      <w:pPr>
        <w:rPr>
          <w:b/>
        </w:rPr>
      </w:pPr>
      <w:r>
        <w:rPr>
          <w:b/>
        </w:rPr>
        <w:t>Mission &amp; Programs</w:t>
      </w:r>
    </w:p>
    <w:p w14:paraId="1384D045" w14:textId="77777777" w:rsidR="00352867" w:rsidRDefault="00352867" w:rsidP="00A55649"/>
    <w:p w14:paraId="6936AF4C" w14:textId="77777777" w:rsidR="00751B10" w:rsidRDefault="00B27B70" w:rsidP="00B27B70">
      <w:pPr>
        <w:rPr>
          <w:rFonts w:cs="Arial"/>
          <w:szCs w:val="20"/>
        </w:rPr>
      </w:pPr>
      <w:r w:rsidRPr="006A4AE4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UNA Cen</w:t>
      </w:r>
      <w:r w:rsidR="00751B10">
        <w:rPr>
          <w:rFonts w:cs="Arial"/>
          <w:szCs w:val="20"/>
        </w:rPr>
        <w:t>te</w:t>
      </w:r>
      <w:r w:rsidR="00E210A1">
        <w:rPr>
          <w:rFonts w:cs="Arial"/>
          <w:szCs w:val="20"/>
        </w:rPr>
        <w:t>r for Writing Excellence has t</w:t>
      </w:r>
      <w:r w:rsidR="004D5423">
        <w:rPr>
          <w:rFonts w:cs="Arial"/>
          <w:szCs w:val="20"/>
        </w:rPr>
        <w:t>hree</w:t>
      </w:r>
      <w:r w:rsidR="00751B10">
        <w:rPr>
          <w:rFonts w:cs="Arial"/>
          <w:szCs w:val="20"/>
        </w:rPr>
        <w:t xml:space="preserve"> primary</w:t>
      </w:r>
      <w:r>
        <w:rPr>
          <w:rFonts w:cs="Arial"/>
          <w:szCs w:val="20"/>
        </w:rPr>
        <w:t xml:space="preserve"> mission</w:t>
      </w:r>
      <w:r w:rsidR="00751B10">
        <w:rPr>
          <w:rFonts w:cs="Arial"/>
          <w:szCs w:val="20"/>
        </w:rPr>
        <w:t>s</w:t>
      </w:r>
      <w:r w:rsidRPr="006A4AE4">
        <w:rPr>
          <w:rFonts w:cs="Arial"/>
          <w:szCs w:val="20"/>
        </w:rPr>
        <w:t>:</w:t>
      </w:r>
      <w:r w:rsidR="00751B10">
        <w:rPr>
          <w:rFonts w:cs="Arial"/>
          <w:szCs w:val="20"/>
        </w:rPr>
        <w:t xml:space="preserve"> 1)</w:t>
      </w:r>
      <w:r w:rsidRPr="006A4AE4">
        <w:rPr>
          <w:rFonts w:cs="Arial"/>
          <w:szCs w:val="20"/>
        </w:rPr>
        <w:t xml:space="preserve"> to provide UNA students at all academic levels with instruction and resources for writing, reading, and writing-as-criti</w:t>
      </w:r>
      <w:r w:rsidR="00751B10">
        <w:rPr>
          <w:rFonts w:cs="Arial"/>
          <w:szCs w:val="20"/>
        </w:rPr>
        <w:t>cal</w:t>
      </w:r>
      <w:r w:rsidR="004D5423">
        <w:rPr>
          <w:rFonts w:cs="Arial"/>
          <w:szCs w:val="20"/>
        </w:rPr>
        <w:t xml:space="preserve"> thinking skills </w:t>
      </w:r>
      <w:proofErr w:type="gramStart"/>
      <w:r w:rsidR="004D5423">
        <w:rPr>
          <w:rFonts w:cs="Arial"/>
          <w:szCs w:val="20"/>
        </w:rPr>
        <w:t xml:space="preserve">development, </w:t>
      </w:r>
      <w:r w:rsidR="00751B10">
        <w:rPr>
          <w:rFonts w:cs="Arial"/>
          <w:szCs w:val="20"/>
        </w:rPr>
        <w:t xml:space="preserve"> 2</w:t>
      </w:r>
      <w:proofErr w:type="gramEnd"/>
      <w:r w:rsidR="00751B10">
        <w:rPr>
          <w:rFonts w:cs="Arial"/>
          <w:szCs w:val="20"/>
        </w:rPr>
        <w:t>)</w:t>
      </w:r>
      <w:r w:rsidRPr="006A4AE4">
        <w:rPr>
          <w:rFonts w:cs="Arial"/>
          <w:szCs w:val="20"/>
        </w:rPr>
        <w:t xml:space="preserve"> to provide UNA faculty with teaching resource support and professional development opportunities in Writing Across the Curriculum (WAC) and Wr</w:t>
      </w:r>
      <w:r w:rsidR="00751B10">
        <w:rPr>
          <w:rFonts w:cs="Arial"/>
          <w:szCs w:val="20"/>
        </w:rPr>
        <w:t>iting in the Disciplines (WID)</w:t>
      </w:r>
      <w:r w:rsidR="004D5423">
        <w:rPr>
          <w:rFonts w:cs="Arial"/>
          <w:szCs w:val="20"/>
        </w:rPr>
        <w:t>, and 3) to provide any other</w:t>
      </w:r>
      <w:r w:rsidR="00637750">
        <w:rPr>
          <w:rFonts w:cs="Arial"/>
          <w:szCs w:val="20"/>
        </w:rPr>
        <w:t xml:space="preserve"> writing and/or instruction </w:t>
      </w:r>
      <w:r w:rsidR="00E210A1">
        <w:rPr>
          <w:rFonts w:cs="Arial"/>
          <w:szCs w:val="20"/>
        </w:rPr>
        <w:t>needs to the UNA commun</w:t>
      </w:r>
      <w:r w:rsidR="004D5423">
        <w:rPr>
          <w:rFonts w:cs="Arial"/>
          <w:szCs w:val="20"/>
        </w:rPr>
        <w:t>ity</w:t>
      </w:r>
      <w:r w:rsidR="00751B10">
        <w:rPr>
          <w:rFonts w:cs="Arial"/>
          <w:szCs w:val="20"/>
        </w:rPr>
        <w:t>.</w:t>
      </w:r>
    </w:p>
    <w:p w14:paraId="71EFD458" w14:textId="77777777" w:rsidR="00751B10" w:rsidRDefault="00751B10" w:rsidP="00B27B70">
      <w:pPr>
        <w:rPr>
          <w:rFonts w:cs="Arial"/>
          <w:szCs w:val="20"/>
        </w:rPr>
      </w:pPr>
    </w:p>
    <w:p w14:paraId="18B216BA" w14:textId="77777777" w:rsidR="00B27B70" w:rsidRDefault="00B27B70" w:rsidP="00B27B70">
      <w:pPr>
        <w:rPr>
          <w:rFonts w:cs="Arial"/>
          <w:szCs w:val="20"/>
        </w:rPr>
      </w:pPr>
      <w:r>
        <w:rPr>
          <w:rFonts w:cs="Arial"/>
          <w:szCs w:val="20"/>
        </w:rPr>
        <w:t>The above mission</w:t>
      </w:r>
      <w:r w:rsidR="00751B10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751B10">
        <w:rPr>
          <w:rFonts w:cs="Arial"/>
          <w:szCs w:val="20"/>
        </w:rPr>
        <w:t>are</w:t>
      </w:r>
      <w:r>
        <w:rPr>
          <w:rFonts w:cs="Arial"/>
          <w:szCs w:val="20"/>
        </w:rPr>
        <w:t xml:space="preserve"> accomplished through a collection of</w:t>
      </w:r>
      <w:r w:rsidR="00751B10">
        <w:rPr>
          <w:rFonts w:cs="Arial"/>
          <w:szCs w:val="20"/>
        </w:rPr>
        <w:t xml:space="preserve"> programs categorized into two</w:t>
      </w:r>
      <w:r>
        <w:rPr>
          <w:rFonts w:cs="Arial"/>
          <w:szCs w:val="20"/>
        </w:rPr>
        <w:t xml:space="preserve"> areas:</w:t>
      </w:r>
    </w:p>
    <w:p w14:paraId="031EA0A3" w14:textId="77777777" w:rsidR="000F34CB" w:rsidRDefault="000F34CB" w:rsidP="00B27B70">
      <w:pPr>
        <w:rPr>
          <w:rFonts w:cs="Arial"/>
          <w:szCs w:val="20"/>
        </w:rPr>
      </w:pPr>
    </w:p>
    <w:p w14:paraId="49053022" w14:textId="77777777" w:rsidR="00B27B70" w:rsidRDefault="00B27B70" w:rsidP="00B27B70">
      <w:pPr>
        <w:pStyle w:val="ListParagraph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University Writing Center</w:t>
      </w:r>
    </w:p>
    <w:p w14:paraId="6714548E" w14:textId="77777777" w:rsidR="00B27B70" w:rsidRDefault="00637750" w:rsidP="00B27B70">
      <w:pPr>
        <w:pStyle w:val="ListParagraph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Individual and G</w:t>
      </w:r>
      <w:r w:rsidR="00B27B70">
        <w:rPr>
          <w:rFonts w:cs="Arial"/>
          <w:szCs w:val="20"/>
        </w:rPr>
        <w:t xml:space="preserve">roup </w:t>
      </w:r>
      <w:r>
        <w:rPr>
          <w:rFonts w:cs="Arial"/>
          <w:szCs w:val="20"/>
        </w:rPr>
        <w:t>C</w:t>
      </w:r>
      <w:r w:rsidR="000366F8">
        <w:rPr>
          <w:rFonts w:cs="Arial"/>
          <w:szCs w:val="20"/>
        </w:rPr>
        <w:t>onsultation</w:t>
      </w:r>
      <w:r>
        <w:rPr>
          <w:rFonts w:cs="Arial"/>
          <w:szCs w:val="20"/>
        </w:rPr>
        <w:t>s</w:t>
      </w:r>
      <w:r w:rsidR="00B27B7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</w:t>
      </w:r>
      <w:r w:rsidR="00B27B70">
        <w:rPr>
          <w:rFonts w:cs="Arial"/>
          <w:szCs w:val="20"/>
        </w:rPr>
        <w:t>conducted face-to-face or online</w:t>
      </w:r>
      <w:r>
        <w:rPr>
          <w:rFonts w:cs="Arial"/>
          <w:szCs w:val="20"/>
        </w:rPr>
        <w:t>)</w:t>
      </w:r>
    </w:p>
    <w:p w14:paraId="11FCB204" w14:textId="77777777" w:rsidR="00B27B70" w:rsidRDefault="00B27B70" w:rsidP="00B27B70">
      <w:pPr>
        <w:pStyle w:val="ListParagraph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Classroom Presentations and Workshops</w:t>
      </w:r>
    </w:p>
    <w:p w14:paraId="2646028B" w14:textId="3938FF6C" w:rsidR="00B27B70" w:rsidRDefault="00B27B70" w:rsidP="00B27B70">
      <w:pPr>
        <w:pStyle w:val="ListParagraph"/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Faculty</w:t>
      </w:r>
      <w:r w:rsidR="00B5157F">
        <w:rPr>
          <w:rFonts w:cs="Arial"/>
          <w:szCs w:val="20"/>
        </w:rPr>
        <w:t>/Staff</w:t>
      </w:r>
      <w:r>
        <w:rPr>
          <w:rFonts w:cs="Arial"/>
          <w:szCs w:val="20"/>
        </w:rPr>
        <w:t xml:space="preserve"> Professional Development</w:t>
      </w:r>
    </w:p>
    <w:p w14:paraId="66DC6616" w14:textId="77777777" w:rsidR="00B27B70" w:rsidRDefault="00B27B70" w:rsidP="00B27B70">
      <w:pPr>
        <w:pStyle w:val="ListParagraph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Individual, Group, Departmental, College, or University-</w:t>
      </w:r>
      <w:r w:rsidR="00637750">
        <w:rPr>
          <w:rFonts w:cs="Arial"/>
          <w:szCs w:val="20"/>
        </w:rPr>
        <w:t>L</w:t>
      </w:r>
      <w:r>
        <w:rPr>
          <w:rFonts w:cs="Arial"/>
          <w:szCs w:val="20"/>
        </w:rPr>
        <w:t>evel Presentations and Workshops</w:t>
      </w:r>
    </w:p>
    <w:p w14:paraId="304540CC" w14:textId="282C587A" w:rsidR="00B27B70" w:rsidRDefault="00B27B70" w:rsidP="00B27B70">
      <w:pPr>
        <w:pStyle w:val="ListParagraph"/>
        <w:numPr>
          <w:ilvl w:val="1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>Faculty</w:t>
      </w:r>
      <w:r w:rsidR="00B5157F">
        <w:rPr>
          <w:rFonts w:cs="Arial"/>
          <w:szCs w:val="20"/>
        </w:rPr>
        <w:t>/Staff</w:t>
      </w:r>
      <w:r>
        <w:rPr>
          <w:rFonts w:cs="Arial"/>
          <w:szCs w:val="20"/>
        </w:rPr>
        <w:t xml:space="preserve"> Writing Retr</w:t>
      </w:r>
      <w:r w:rsidR="00B824BE">
        <w:rPr>
          <w:rFonts w:cs="Arial"/>
          <w:szCs w:val="20"/>
        </w:rPr>
        <w:t>eats</w:t>
      </w:r>
    </w:p>
    <w:p w14:paraId="6BD38DAD" w14:textId="77777777" w:rsidR="00293BFD" w:rsidRDefault="00293BFD" w:rsidP="00B27B70">
      <w:pPr>
        <w:rPr>
          <w:rFonts w:cs="Arial"/>
          <w:szCs w:val="20"/>
        </w:rPr>
      </w:pPr>
    </w:p>
    <w:p w14:paraId="2DEF0F33" w14:textId="27032D5B" w:rsidR="00A55649" w:rsidRPr="00BE1C68" w:rsidRDefault="00A55649" w:rsidP="00B27B70">
      <w:pPr>
        <w:rPr>
          <w:rFonts w:cs="Arial"/>
          <w:szCs w:val="20"/>
        </w:rPr>
      </w:pPr>
      <w:r w:rsidRPr="00352867">
        <w:rPr>
          <w:b/>
        </w:rPr>
        <w:t>Writing Center</w:t>
      </w:r>
      <w:r w:rsidR="00D622D1">
        <w:rPr>
          <w:b/>
        </w:rPr>
        <w:t xml:space="preserve"> Consultations</w:t>
      </w:r>
    </w:p>
    <w:p w14:paraId="4726D9FD" w14:textId="77777777" w:rsidR="000F5399" w:rsidRDefault="000F5399" w:rsidP="00D410F3"/>
    <w:p w14:paraId="38859D2C" w14:textId="77777777" w:rsidR="00D410F3" w:rsidRDefault="00D410F3" w:rsidP="00F156D7">
      <w:r w:rsidRPr="00D410F3">
        <w:t xml:space="preserve">The primary activity of the </w:t>
      </w:r>
      <w:r w:rsidR="00D8095F">
        <w:t>Center for Writing Excellence</w:t>
      </w:r>
      <w:r w:rsidR="008A2668">
        <w:t xml:space="preserve"> (CWE)</w:t>
      </w:r>
      <w:r w:rsidR="00D8095F">
        <w:t xml:space="preserve"> </w:t>
      </w:r>
      <w:r w:rsidRPr="00D410F3">
        <w:t xml:space="preserve">is to conduct </w:t>
      </w:r>
      <w:r w:rsidRPr="007F0B68">
        <w:t xml:space="preserve">writing </w:t>
      </w:r>
      <w:r w:rsidR="000366F8" w:rsidRPr="007F0B68">
        <w:t>consultation</w:t>
      </w:r>
      <w:r w:rsidRPr="007F0B68">
        <w:t>s</w:t>
      </w:r>
      <w:r w:rsidR="00B62DD2">
        <w:t>:</w:t>
      </w:r>
      <w:r>
        <w:t xml:space="preserve"> one-to-one or group interactions between a </w:t>
      </w:r>
      <w:r w:rsidR="000366F8">
        <w:t>consultant</w:t>
      </w:r>
      <w:r>
        <w:t xml:space="preserve"> and a client or clients, conducted in the center or online.</w:t>
      </w:r>
      <w:r w:rsidR="00352867">
        <w:t xml:space="preserve">  </w:t>
      </w:r>
      <w:r w:rsidR="00352867" w:rsidRPr="00352867">
        <w:t xml:space="preserve">Clients </w:t>
      </w:r>
      <w:r w:rsidR="00352867">
        <w:t xml:space="preserve">may, and often do, participate in multiple </w:t>
      </w:r>
      <w:r w:rsidR="000366F8">
        <w:t>consultation</w:t>
      </w:r>
      <w:r w:rsidR="00352867">
        <w:t>s throughout a semester, year, or across years.</w:t>
      </w:r>
      <w:r w:rsidR="00EB5ECE">
        <w:t xml:space="preserve">  </w:t>
      </w:r>
    </w:p>
    <w:p w14:paraId="78EB67CA" w14:textId="77777777" w:rsidR="000F5399" w:rsidRDefault="000F5399" w:rsidP="00F156D7"/>
    <w:p w14:paraId="79F9A32B" w14:textId="77777777" w:rsidR="000F5399" w:rsidRDefault="00BE443E" w:rsidP="00F156D7">
      <w:r>
        <w:t>The results are revealed in Figure 1.</w:t>
      </w:r>
    </w:p>
    <w:p w14:paraId="78F5B34F" w14:textId="77777777" w:rsidR="00F156D7" w:rsidRDefault="00B27B70" w:rsidP="008A4820">
      <w:pPr>
        <w:pStyle w:val="Caption"/>
        <w:spacing w:after="0"/>
        <w:jc w:val="center"/>
      </w:pPr>
      <w:r w:rsidRPr="00B824BE">
        <w:rPr>
          <w:noProof/>
          <w:sz w:val="16"/>
          <w:szCs w:val="16"/>
        </w:rPr>
        <w:drawing>
          <wp:inline distT="0" distB="0" distL="0" distR="0" wp14:anchorId="3FFD6F38" wp14:editId="7BBDC74C">
            <wp:extent cx="6678777" cy="3228975"/>
            <wp:effectExtent l="0" t="0" r="8255" b="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ECE64C" w14:textId="77777777" w:rsidR="00FD15D6" w:rsidRDefault="00516438" w:rsidP="001075EC">
      <w:pPr>
        <w:pStyle w:val="Caption"/>
        <w:jc w:val="center"/>
        <w:rPr>
          <w:b w:val="0"/>
          <w:color w:val="auto"/>
        </w:rPr>
      </w:pPr>
      <w:r>
        <w:t xml:space="preserve">Figure 1: Total Number of Active </w:t>
      </w:r>
      <w:r w:rsidR="00A0487F">
        <w:t xml:space="preserve">Clients and Consultations </w:t>
      </w:r>
    </w:p>
    <w:p w14:paraId="0F4BAA2F" w14:textId="29246E63" w:rsidR="001075EC" w:rsidRPr="001075EC" w:rsidRDefault="001075EC" w:rsidP="001075EC">
      <w:r>
        <w:t xml:space="preserve">The </w:t>
      </w:r>
      <w:r w:rsidR="008A2668">
        <w:t>CWE continues to conduct</w:t>
      </w:r>
      <w:r w:rsidR="007A3BA9">
        <w:t xml:space="preserve"> over 25</w:t>
      </w:r>
      <w:r>
        <w:t xml:space="preserve">00 consultations </w:t>
      </w:r>
      <w:r w:rsidR="7532A093">
        <w:t xml:space="preserve">in an academic </w:t>
      </w:r>
      <w:r>
        <w:t>year.</w:t>
      </w:r>
      <w:r w:rsidR="00EB627F">
        <w:t xml:space="preserve"> This academic year there were consistent numbers of clients and visits for both fall and spring semesters. </w:t>
      </w:r>
      <w:r w:rsidR="00564017">
        <w:t xml:space="preserve"> </w:t>
      </w:r>
      <w:r w:rsidR="00EB627F">
        <w:t xml:space="preserve">Because the CWE continues to conduct group consultations, numbers of students are actually higher, as </w:t>
      </w:r>
      <w:proofErr w:type="spellStart"/>
      <w:r w:rsidR="00EB627F">
        <w:t>TutorTrac</w:t>
      </w:r>
      <w:proofErr w:type="spellEnd"/>
      <w:r w:rsidR="00EB627F">
        <w:t xml:space="preserve"> does not record each student who attends a group session. </w:t>
      </w:r>
      <w:r w:rsidR="007B0118">
        <w:t xml:space="preserve">Group consultations occur for specific courses, such as NU 203 W and NU 210, </w:t>
      </w:r>
      <w:r w:rsidR="3CE78035">
        <w:t xml:space="preserve">and </w:t>
      </w:r>
      <w:r w:rsidR="007B0118">
        <w:t>generally consist of fo</w:t>
      </w:r>
      <w:r w:rsidR="00690C59">
        <w:t xml:space="preserve">ur to five students per group. </w:t>
      </w:r>
      <w:r w:rsidR="007B0118">
        <w:t xml:space="preserve"> </w:t>
      </w:r>
    </w:p>
    <w:p w14:paraId="64CC85DE" w14:textId="6C370FB3" w:rsidR="00625BC5" w:rsidRDefault="00625BC5" w:rsidP="000754A7">
      <w:r>
        <w:rPr>
          <w:noProof/>
        </w:rPr>
        <w:lastRenderedPageBreak/>
        <w:drawing>
          <wp:inline distT="0" distB="0" distL="0" distR="0" wp14:anchorId="061142D4" wp14:editId="65D8287C">
            <wp:extent cx="7153275" cy="4248150"/>
            <wp:effectExtent l="0" t="0" r="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3889B7" w14:textId="77777777" w:rsidR="00516438" w:rsidRDefault="00516438" w:rsidP="000754A7"/>
    <w:p w14:paraId="3507F2D2" w14:textId="77777777" w:rsidR="00516438" w:rsidRDefault="00516438" w:rsidP="00516438">
      <w:pPr>
        <w:pStyle w:val="Caption"/>
        <w:jc w:val="center"/>
      </w:pPr>
      <w:r>
        <w:t>Figure 2:</w:t>
      </w:r>
      <w:r w:rsidRPr="00516438">
        <w:t xml:space="preserve"> </w:t>
      </w:r>
      <w:r>
        <w:t>Clients by Number of Tutorial Visits</w:t>
      </w:r>
    </w:p>
    <w:p w14:paraId="0CFB24C1" w14:textId="77777777" w:rsidR="00FD3FCE" w:rsidRDefault="00FD3FCE" w:rsidP="00FD3FCE"/>
    <w:p w14:paraId="19BDB803" w14:textId="08058E87" w:rsidR="00FD3FCE" w:rsidRDefault="00FD3FCE" w:rsidP="00FD3FCE">
      <w:r>
        <w:t>Figure 2.  suggests that, given the current resources, clients</w:t>
      </w:r>
      <w:r w:rsidR="00B74B58">
        <w:t>(students)</w:t>
      </w:r>
      <w:r>
        <w:t xml:space="preserve"> </w:t>
      </w:r>
      <w:r w:rsidR="00B74B58">
        <w:t>are continuing to utilize the CWE</w:t>
      </w:r>
      <w:r>
        <w:t>.  This data also suggests that clients often return for assistance on numerous occasions</w:t>
      </w:r>
      <w:r w:rsidR="007B0118">
        <w:t xml:space="preserve">, partly due to required visits by professors and partly due to the consistent assistance needed for certain papers. </w:t>
      </w:r>
      <w:r>
        <w:t xml:space="preserve"> </w:t>
      </w:r>
      <w:r w:rsidR="007B0118">
        <w:t>During the 2018-2019</w:t>
      </w:r>
      <w:r w:rsidR="00C341F3" w:rsidRPr="009346B8">
        <w:t xml:space="preserve"> year</w:t>
      </w:r>
      <w:r w:rsidR="007A4E8A" w:rsidRPr="009346B8">
        <w:t xml:space="preserve">, there were several international students who visited </w:t>
      </w:r>
      <w:r w:rsidR="007B0118">
        <w:t>the CWE more than 30</w:t>
      </w:r>
      <w:r w:rsidR="00925414" w:rsidRPr="009346B8">
        <w:t xml:space="preserve"> times</w:t>
      </w:r>
      <w:r w:rsidR="007A4E8A" w:rsidRPr="009346B8">
        <w:t xml:space="preserve">. </w:t>
      </w:r>
      <w:r w:rsidRPr="009346B8">
        <w:t xml:space="preserve"> </w:t>
      </w:r>
      <w:r>
        <w:t>This is a</w:t>
      </w:r>
      <w:r w:rsidR="007A4E8A">
        <w:t>n</w:t>
      </w:r>
      <w:r>
        <w:t xml:space="preserve"> indicator that the </w:t>
      </w:r>
      <w:r w:rsidR="007A4E8A">
        <w:t xml:space="preserve">CWE </w:t>
      </w:r>
      <w:r>
        <w:t>is making a positive impact, especially since the center advocates a three-visit policy among faculty</w:t>
      </w:r>
      <w:r w:rsidR="001607C4">
        <w:t xml:space="preserve"> </w:t>
      </w:r>
      <w:r>
        <w:t>who require or expect students to attend consultations. In fact, a large number of students who visit</w:t>
      </w:r>
      <w:r w:rsidR="001607C4">
        <w:t xml:space="preserve"> the CWE repeatedly are </w:t>
      </w:r>
      <w:r w:rsidR="00A82C22">
        <w:t>EL</w:t>
      </w:r>
      <w:r w:rsidR="007A4E8A">
        <w:t>L</w:t>
      </w:r>
      <w:r w:rsidR="00A82C22">
        <w:t xml:space="preserve"> (English language learners)</w:t>
      </w:r>
      <w:r w:rsidR="007A4E8A">
        <w:t xml:space="preserve">, </w:t>
      </w:r>
      <w:r w:rsidR="001607C4">
        <w:t>English</w:t>
      </w:r>
      <w:r w:rsidR="00B224AA">
        <w:t xml:space="preserve"> composition</w:t>
      </w:r>
      <w:r w:rsidR="007B0118">
        <w:t xml:space="preserve"> </w:t>
      </w:r>
      <w:r w:rsidR="001607C4">
        <w:t>and nursing</w:t>
      </w:r>
      <w:r>
        <w:t xml:space="preserve"> students. </w:t>
      </w:r>
    </w:p>
    <w:p w14:paraId="1E4911E6" w14:textId="77777777" w:rsidR="00840DB0" w:rsidRDefault="00840DB0" w:rsidP="00FD3FCE"/>
    <w:p w14:paraId="744070FB" w14:textId="77777777" w:rsidR="00293BFD" w:rsidRDefault="00293BFD" w:rsidP="00293BFD">
      <w:pPr>
        <w:rPr>
          <w:u w:val="single"/>
        </w:rPr>
      </w:pPr>
      <w:r w:rsidRPr="00053693">
        <w:rPr>
          <w:u w:val="single"/>
        </w:rPr>
        <w:t>Consultation Evaluations</w:t>
      </w:r>
    </w:p>
    <w:p w14:paraId="673B3183" w14:textId="77777777" w:rsidR="00293BFD" w:rsidRDefault="00293BFD" w:rsidP="00293BFD">
      <w:pPr>
        <w:rPr>
          <w:u w:val="single"/>
        </w:rPr>
      </w:pPr>
    </w:p>
    <w:p w14:paraId="64E750D2" w14:textId="019C2399" w:rsidR="00293BFD" w:rsidRDefault="00293BFD" w:rsidP="00293BFD">
      <w:r>
        <w:t xml:space="preserve">Clients of the </w:t>
      </w:r>
      <w:r w:rsidR="0088772F">
        <w:t xml:space="preserve">CWE </w:t>
      </w:r>
      <w:r>
        <w:t>have the option of providing an evalu</w:t>
      </w:r>
      <w:r w:rsidR="009F20CB">
        <w:t>ation of their experience via a</w:t>
      </w:r>
      <w:r>
        <w:t xml:space="preserve"> </w:t>
      </w:r>
      <w:r w:rsidR="009F20CB">
        <w:t xml:space="preserve">paper </w:t>
      </w:r>
      <w:r>
        <w:t>survey</w:t>
      </w:r>
      <w:r w:rsidR="009F20CB">
        <w:t xml:space="preserve"> at the end of their consultation</w:t>
      </w:r>
      <w:r>
        <w:t xml:space="preserve">.  </w:t>
      </w:r>
      <w:r w:rsidR="009F20CB">
        <w:t>These result</w:t>
      </w:r>
      <w:r>
        <w:t xml:space="preserve"> in unusually high</w:t>
      </w:r>
      <w:r w:rsidR="009F20CB">
        <w:t xml:space="preserve"> and</w:t>
      </w:r>
      <w:r>
        <w:t xml:space="preserve"> overall</w:t>
      </w:r>
      <w:r w:rsidR="004D5423">
        <w:t xml:space="preserve"> positive</w:t>
      </w:r>
      <w:r>
        <w:t xml:space="preserve"> evaluations. </w:t>
      </w:r>
      <w:r w:rsidR="004D5423">
        <w:t xml:space="preserve">The evaluations are graded on a scale of 1 to 5: 1 Strongly Disagree – 5 Strongly Agree. The scores </w:t>
      </w:r>
      <w:r w:rsidR="00610148">
        <w:t xml:space="preserve">average </w:t>
      </w:r>
      <w:r w:rsidR="008C2E21">
        <w:t>was 4.8 this</w:t>
      </w:r>
      <w:r w:rsidR="004D5423">
        <w:t xml:space="preserve"> </w:t>
      </w:r>
      <w:r w:rsidR="008C2E21">
        <w:t>academic year.</w:t>
      </w:r>
      <w:r w:rsidR="004D5423">
        <w:t xml:space="preserve"> </w:t>
      </w:r>
      <w:r>
        <w:t xml:space="preserve"> </w:t>
      </w:r>
    </w:p>
    <w:p w14:paraId="19146727" w14:textId="77777777" w:rsidR="005615AC" w:rsidRDefault="005615AC" w:rsidP="00293BFD"/>
    <w:p w14:paraId="1653AAD9" w14:textId="7F1539EE" w:rsidR="005615AC" w:rsidRDefault="005615AC" w:rsidP="00293BFD">
      <w:r w:rsidRPr="005615AC">
        <w:rPr>
          <w:b/>
          <w:i/>
        </w:rPr>
        <w:t>Student Comments</w:t>
      </w:r>
      <w:r>
        <w:rPr>
          <w:b/>
          <w:i/>
        </w:rPr>
        <w:t xml:space="preserve"> Regarding Writing Consultants and Consultations</w:t>
      </w:r>
      <w:r>
        <w:t>:</w:t>
      </w:r>
    </w:p>
    <w:p w14:paraId="22CE0027" w14:textId="77777777" w:rsidR="005615AC" w:rsidRDefault="005615AC" w:rsidP="00293BFD"/>
    <w:p w14:paraId="53E8B048" w14:textId="3203F3C2" w:rsidR="005615AC" w:rsidRDefault="0028705F" w:rsidP="00293BFD">
      <w:r>
        <w:t>EN 111</w:t>
      </w:r>
      <w:r w:rsidR="005615AC">
        <w:t xml:space="preserve"> –</w:t>
      </w:r>
      <w:r>
        <w:t xml:space="preserve">    </w:t>
      </w:r>
      <w:r w:rsidR="005615AC">
        <w:t xml:space="preserve"> </w:t>
      </w:r>
      <w:r w:rsidR="005569F7">
        <w:tab/>
      </w:r>
      <w:r w:rsidR="005615AC">
        <w:t>“</w:t>
      </w:r>
      <w:r>
        <w:t>V</w:t>
      </w:r>
      <w:r w:rsidR="005615AC">
        <w:t>ery helpful</w:t>
      </w:r>
      <w:r>
        <w:t xml:space="preserve"> and knows where good resources are</w:t>
      </w:r>
      <w:r w:rsidR="005615AC">
        <w:t>!”</w:t>
      </w:r>
    </w:p>
    <w:p w14:paraId="20BFAB60" w14:textId="3A7E429A" w:rsidR="005615AC" w:rsidRDefault="0028705F" w:rsidP="00293BFD">
      <w:r>
        <w:t>EN 310W</w:t>
      </w:r>
      <w:r w:rsidR="005615AC">
        <w:t xml:space="preserve"> –</w:t>
      </w:r>
      <w:r w:rsidR="005569F7">
        <w:tab/>
      </w:r>
      <w:r>
        <w:t xml:space="preserve"> “Great for quick tips on how to adjust my paper. Received a lot of good ideas!</w:t>
      </w:r>
      <w:r w:rsidR="005615AC">
        <w:t>”</w:t>
      </w:r>
    </w:p>
    <w:p w14:paraId="741E46F5" w14:textId="77C97E5D" w:rsidR="005615AC" w:rsidRDefault="0028705F" w:rsidP="00293BFD">
      <w:r>
        <w:t xml:space="preserve">EN 112 –    </w:t>
      </w:r>
      <w:r w:rsidR="005569F7">
        <w:tab/>
      </w:r>
      <w:r>
        <w:t xml:space="preserve"> “{Tutor} was so helpful and challenged me to consider new viewpoints.”</w:t>
      </w:r>
    </w:p>
    <w:p w14:paraId="489510FA" w14:textId="19C18F0F" w:rsidR="005615AC" w:rsidRDefault="005615AC" w:rsidP="00293BFD">
      <w:r>
        <w:t xml:space="preserve">ED 292 – </w:t>
      </w:r>
      <w:r w:rsidR="005569F7">
        <w:t xml:space="preserve">   </w:t>
      </w:r>
      <w:r w:rsidR="005569F7">
        <w:tab/>
        <w:t xml:space="preserve"> </w:t>
      </w:r>
      <w:r>
        <w:t>“Lots of help whe</w:t>
      </w:r>
      <w:r w:rsidR="004823D3">
        <w:t>n preparing an important paper.”</w:t>
      </w:r>
    </w:p>
    <w:p w14:paraId="19B916EC" w14:textId="1E8CE2AA" w:rsidR="005615AC" w:rsidRDefault="0028705F" w:rsidP="00293BFD">
      <w:r>
        <w:t xml:space="preserve">EN </w:t>
      </w:r>
      <w:proofErr w:type="gramStart"/>
      <w:r>
        <w:t xml:space="preserve">099  </w:t>
      </w:r>
      <w:r w:rsidR="005615AC">
        <w:t>–</w:t>
      </w:r>
      <w:proofErr w:type="gramEnd"/>
      <w:r w:rsidR="005569F7">
        <w:t xml:space="preserve">   </w:t>
      </w:r>
      <w:r w:rsidR="005569F7">
        <w:tab/>
      </w:r>
      <w:r w:rsidR="005615AC">
        <w:t xml:space="preserve"> “[</w:t>
      </w:r>
      <w:r>
        <w:t xml:space="preserve"> The c</w:t>
      </w:r>
      <w:r w:rsidR="005615AC">
        <w:t>onsultat</w:t>
      </w:r>
      <w:r>
        <w:t>ion] helps you get started and gives you a different perspective.</w:t>
      </w:r>
      <w:r w:rsidR="005615AC">
        <w:t>”</w:t>
      </w:r>
    </w:p>
    <w:p w14:paraId="6CB115E0" w14:textId="66C525C8" w:rsidR="005615AC" w:rsidRDefault="005569F7" w:rsidP="00293BFD">
      <w:r>
        <w:t xml:space="preserve">EN 111H -   </w:t>
      </w:r>
      <w:r>
        <w:tab/>
        <w:t xml:space="preserve"> “One of if not THE BEST program</w:t>
      </w:r>
      <w:r w:rsidR="00A75098">
        <w:t>s</w:t>
      </w:r>
      <w:r>
        <w:t xml:space="preserve"> UNA has to offer for any academic class.”</w:t>
      </w:r>
    </w:p>
    <w:p w14:paraId="55921E53" w14:textId="57C31BC7" w:rsidR="005569F7" w:rsidRDefault="005569F7" w:rsidP="009A63F5">
      <w:r w:rsidRPr="005569F7">
        <w:t>HI 101</w:t>
      </w:r>
      <w:r>
        <w:t xml:space="preserve"> -</w:t>
      </w:r>
      <w:r>
        <w:tab/>
      </w:r>
      <w:r>
        <w:tab/>
        <w:t xml:space="preserve">“My tutor continually assured if there was anything else I needed to know she was willing to help. She </w:t>
      </w:r>
      <w:r w:rsidR="008C2E21">
        <w:tab/>
      </w:r>
      <w:r w:rsidR="008C2E21">
        <w:tab/>
      </w:r>
      <w:r w:rsidR="008C2E21">
        <w:tab/>
      </w:r>
      <w:r w:rsidR="00A01065">
        <w:t xml:space="preserve"> </w:t>
      </w:r>
      <w:r>
        <w:t xml:space="preserve">was thorough and reassuring. I enjoyed and appreciated my experience.” </w:t>
      </w:r>
    </w:p>
    <w:p w14:paraId="32E8C562" w14:textId="4486B764" w:rsidR="005569F7" w:rsidRDefault="005569F7" w:rsidP="009A63F5"/>
    <w:p w14:paraId="7F3640FB" w14:textId="3549B9AA" w:rsidR="005569F7" w:rsidRDefault="005569F7" w:rsidP="009A63F5"/>
    <w:p w14:paraId="686477E3" w14:textId="0CEBC00A" w:rsidR="00A75098" w:rsidRPr="005569F7" w:rsidRDefault="00A75098" w:rsidP="009A63F5">
      <w:r>
        <w:t xml:space="preserve">**There are no evaluations </w:t>
      </w:r>
      <w:r w:rsidR="00541825">
        <w:t>from online students, but the CWE is</w:t>
      </w:r>
      <w:r>
        <w:t xml:space="preserve"> looking for an efficient way to collect those as well. </w:t>
      </w:r>
    </w:p>
    <w:p w14:paraId="400044E0" w14:textId="6CF38715" w:rsidR="009A63F5" w:rsidRPr="00E00EA7" w:rsidRDefault="00780831" w:rsidP="009A63F5">
      <w:r>
        <w:rPr>
          <w:b/>
        </w:rPr>
        <w:lastRenderedPageBreak/>
        <w:t xml:space="preserve">CWE </w:t>
      </w:r>
      <w:r w:rsidR="009A63F5" w:rsidRPr="00E00EA7">
        <w:rPr>
          <w:b/>
        </w:rPr>
        <w:t>Workshops</w:t>
      </w:r>
      <w:r w:rsidR="00AF1951" w:rsidRPr="00E00EA7">
        <w:rPr>
          <w:b/>
        </w:rPr>
        <w:t xml:space="preserve"> </w:t>
      </w:r>
    </w:p>
    <w:p w14:paraId="655F1519" w14:textId="77777777" w:rsidR="001073CC" w:rsidRPr="00E00EA7" w:rsidRDefault="001073CC" w:rsidP="009A63F5"/>
    <w:p w14:paraId="48BDD7DB" w14:textId="77777777" w:rsidR="002F6101" w:rsidRDefault="00780831" w:rsidP="009A63F5">
      <w:r>
        <w:t xml:space="preserve">Formatting and Writing </w:t>
      </w:r>
      <w:r w:rsidR="00134999" w:rsidRPr="00E00EA7">
        <w:t>Workshops continue to be a pop</w:t>
      </w:r>
      <w:r w:rsidR="0088772F">
        <w:t>ular component of</w:t>
      </w:r>
      <w:r w:rsidR="00134999" w:rsidRPr="00E00EA7">
        <w:t xml:space="preserve"> services</w:t>
      </w:r>
      <w:r w:rsidR="0088772F">
        <w:t xml:space="preserve"> offered by the CWE</w:t>
      </w:r>
      <w:r w:rsidR="00134999" w:rsidRPr="00E00EA7">
        <w:t xml:space="preserve">.  The most popular requests continue to be writing center orientations, workshops in </w:t>
      </w:r>
      <w:r w:rsidR="001607C4">
        <w:t>formatting (APA</w:t>
      </w:r>
      <w:r w:rsidR="002F6101">
        <w:t xml:space="preserve"> and Collaborative Writing</w:t>
      </w:r>
      <w:r w:rsidR="009029D0">
        <w:t>)</w:t>
      </w:r>
      <w:r w:rsidR="005569F7">
        <w:t>, writing literature reviews, writing in-class essays,</w:t>
      </w:r>
      <w:r w:rsidR="009029D0">
        <w:t xml:space="preserve"> and</w:t>
      </w:r>
      <w:r w:rsidR="001607C4">
        <w:t xml:space="preserve"> </w:t>
      </w:r>
      <w:r w:rsidR="00134999" w:rsidRPr="00E00EA7">
        <w:t>overviews of academic</w:t>
      </w:r>
      <w:r w:rsidR="001607C4">
        <w:t xml:space="preserve"> research papers</w:t>
      </w:r>
      <w:r w:rsidR="009029D0">
        <w:t>. However, other workshops offered include</w:t>
      </w:r>
      <w:r w:rsidR="00134999" w:rsidRPr="00E00EA7">
        <w:t xml:space="preserve"> </w:t>
      </w:r>
      <w:r w:rsidR="001607C4">
        <w:t xml:space="preserve">avoiding plagiarism, </w:t>
      </w:r>
      <w:r w:rsidR="009029D0">
        <w:t>structuring research and conference proposals</w:t>
      </w:r>
      <w:r w:rsidR="00134999" w:rsidRPr="00E00EA7">
        <w:t>,</w:t>
      </w:r>
      <w:r w:rsidR="002F6101">
        <w:t xml:space="preserve"> and writing a literary analysis.</w:t>
      </w:r>
      <w:r w:rsidR="00134999" w:rsidRPr="00E00EA7">
        <w:t xml:space="preserve"> </w:t>
      </w:r>
    </w:p>
    <w:p w14:paraId="133E7663" w14:textId="77777777" w:rsidR="002F6101" w:rsidRDefault="002F6101" w:rsidP="009A63F5"/>
    <w:p w14:paraId="0BB9441D" w14:textId="41E1EC99" w:rsidR="00134999" w:rsidRDefault="00625A34" w:rsidP="009A63F5">
      <w:r w:rsidRPr="005569F7">
        <w:rPr>
          <w:b/>
        </w:rPr>
        <w:t>Tab</w:t>
      </w:r>
      <w:r w:rsidR="009029D0" w:rsidRPr="005569F7">
        <w:rPr>
          <w:b/>
        </w:rPr>
        <w:t>le 1</w:t>
      </w:r>
      <w:r w:rsidR="009029D0">
        <w:t xml:space="preserve"> reveals the workshops conducted</w:t>
      </w:r>
      <w:r>
        <w:t xml:space="preserve"> </w:t>
      </w:r>
      <w:r w:rsidR="009029D0">
        <w:t>by the</w:t>
      </w:r>
      <w:r w:rsidR="008A2668">
        <w:t xml:space="preserve"> CWE</w:t>
      </w:r>
      <w:r w:rsidR="00E71078">
        <w:t xml:space="preserve"> </w:t>
      </w:r>
      <w:r w:rsidR="005569F7">
        <w:t>Director for fall 2018</w:t>
      </w:r>
      <w:r w:rsidR="00E71078">
        <w:t>/s</w:t>
      </w:r>
      <w:r w:rsidR="005569F7">
        <w:t>pring 2019</w:t>
      </w:r>
      <w:r>
        <w:t xml:space="preserve"> semesters</w:t>
      </w:r>
      <w:r w:rsidR="009029D0">
        <w:t xml:space="preserve"> and the number of part</w:t>
      </w:r>
      <w:r w:rsidR="00BC279C">
        <w:t>i</w:t>
      </w:r>
      <w:r w:rsidR="009029D0">
        <w:t>cipants</w:t>
      </w:r>
      <w:r>
        <w:t>. Writing center orientations</w:t>
      </w:r>
      <w:r w:rsidR="004D5423">
        <w:t xml:space="preserve"> </w:t>
      </w:r>
      <w:r>
        <w:t xml:space="preserve">are conducted in the classrooms, particularly in EN </w:t>
      </w:r>
      <w:proofErr w:type="gramStart"/>
      <w:r>
        <w:t>1</w:t>
      </w:r>
      <w:r w:rsidR="004D5423">
        <w:t>11/112 and First Year</w:t>
      </w:r>
      <w:proofErr w:type="gramEnd"/>
      <w:r w:rsidR="004D5423">
        <w:t xml:space="preserve"> Experience</w:t>
      </w:r>
      <w:r w:rsidR="00B22EED">
        <w:t xml:space="preserve"> but are not counted here</w:t>
      </w:r>
      <w:r w:rsidR="004D5423">
        <w:t>.</w:t>
      </w:r>
      <w:r>
        <w:t xml:space="preserve"> </w:t>
      </w:r>
    </w:p>
    <w:p w14:paraId="5D76D2D1" w14:textId="77777777" w:rsidR="009F20CB" w:rsidRDefault="009F20CB" w:rsidP="009A63F5"/>
    <w:p w14:paraId="3282844D" w14:textId="116D05DB" w:rsidR="00BC59D7" w:rsidRDefault="00BC59D7" w:rsidP="009A63F5">
      <w:r w:rsidRPr="005569F7">
        <w:rPr>
          <w:b/>
        </w:rPr>
        <w:t>Table 1</w:t>
      </w:r>
      <w:r>
        <w:t>. CWE Writing/Formatting Workshops, 201</w:t>
      </w:r>
      <w:r w:rsidR="0015697A">
        <w:t>8-2019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526"/>
        <w:gridCol w:w="2162"/>
        <w:gridCol w:w="2035"/>
        <w:gridCol w:w="906"/>
        <w:gridCol w:w="1648"/>
        <w:gridCol w:w="1277"/>
        <w:gridCol w:w="1161"/>
      </w:tblGrid>
      <w:tr w:rsidR="00213CB4" w14:paraId="6C4AA9AB" w14:textId="77777777" w:rsidTr="00A8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541A58C9" w14:textId="77777777" w:rsidR="009F20CB" w:rsidRDefault="009F20CB" w:rsidP="00487152"/>
        </w:tc>
        <w:tc>
          <w:tcPr>
            <w:tcW w:w="2023" w:type="dxa"/>
          </w:tcPr>
          <w:p w14:paraId="11CCF68E" w14:textId="77777777" w:rsidR="009F20CB" w:rsidRDefault="009F20CB" w:rsidP="004871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</w:t>
            </w:r>
          </w:p>
        </w:tc>
        <w:tc>
          <w:tcPr>
            <w:tcW w:w="2035" w:type="dxa"/>
          </w:tcPr>
          <w:p w14:paraId="7F1B6FC3" w14:textId="77777777" w:rsidR="009F20CB" w:rsidRDefault="009F20CB" w:rsidP="00487152">
            <w:pPr>
              <w:tabs>
                <w:tab w:val="right" w:pos="20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5A9B854C" w14:textId="766604B7" w:rsidR="009F20CB" w:rsidRDefault="005569F7" w:rsidP="0021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Fall ‘18</w:t>
            </w:r>
          </w:p>
        </w:tc>
        <w:tc>
          <w:tcPr>
            <w:tcW w:w="1648" w:type="dxa"/>
          </w:tcPr>
          <w:p w14:paraId="1B559F62" w14:textId="77777777" w:rsidR="009F20CB" w:rsidRDefault="009F20CB" w:rsidP="00A81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3ED04639" w14:textId="09F618EB" w:rsidR="009F20CB" w:rsidRDefault="00213CB4" w:rsidP="00213C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‘</w:t>
            </w:r>
            <w:r w:rsidR="00181515">
              <w:t>1</w:t>
            </w:r>
            <w:r w:rsidR="005569F7">
              <w:t>9</w:t>
            </w:r>
          </w:p>
        </w:tc>
        <w:tc>
          <w:tcPr>
            <w:tcW w:w="1161" w:type="dxa"/>
          </w:tcPr>
          <w:p w14:paraId="5722C775" w14:textId="77777777" w:rsidR="009F20CB" w:rsidRDefault="009F20CB" w:rsidP="004871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CB4" w14:paraId="4828CCD4" w14:textId="77777777" w:rsidTr="00A8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75C00FB" w14:textId="77777777" w:rsidR="009F20CB" w:rsidRDefault="009F20CB" w:rsidP="00487152">
            <w:r>
              <w:t>1</w:t>
            </w:r>
          </w:p>
        </w:tc>
        <w:tc>
          <w:tcPr>
            <w:tcW w:w="2023" w:type="dxa"/>
          </w:tcPr>
          <w:p w14:paraId="6F9E5A66" w14:textId="77777777" w:rsidR="009F20CB" w:rsidRDefault="00625A3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American Psychological Association (APA)</w:t>
            </w:r>
          </w:p>
        </w:tc>
        <w:tc>
          <w:tcPr>
            <w:tcW w:w="2035" w:type="dxa"/>
          </w:tcPr>
          <w:p w14:paraId="28FEE441" w14:textId="77777777" w:rsidR="009F20CB" w:rsidRDefault="009F20CB" w:rsidP="00487152">
            <w:pPr>
              <w:tabs>
                <w:tab w:val="left" w:pos="1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55876C5A" w14:textId="66B2D9FF" w:rsidR="009F20CB" w:rsidRDefault="007A3BA9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3D2E23">
              <w:t>93</w:t>
            </w:r>
          </w:p>
        </w:tc>
        <w:tc>
          <w:tcPr>
            <w:tcW w:w="1648" w:type="dxa"/>
          </w:tcPr>
          <w:p w14:paraId="47549143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125585A5" w14:textId="0AD08A67" w:rsidR="009F20CB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="00B5157F">
              <w:t>70</w:t>
            </w:r>
          </w:p>
        </w:tc>
        <w:tc>
          <w:tcPr>
            <w:tcW w:w="1161" w:type="dxa"/>
          </w:tcPr>
          <w:p w14:paraId="75F4B74C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CB4" w14:paraId="6606A2AE" w14:textId="77777777" w:rsidTr="00A8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046C259" w14:textId="77777777" w:rsidR="009F20CB" w:rsidRDefault="009F20CB" w:rsidP="00487152">
            <w:r>
              <w:t>2</w:t>
            </w:r>
          </w:p>
        </w:tc>
        <w:tc>
          <w:tcPr>
            <w:tcW w:w="2023" w:type="dxa"/>
          </w:tcPr>
          <w:p w14:paraId="159AA84D" w14:textId="77777777" w:rsidR="009F20CB" w:rsidRDefault="00625A34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Chicago Manual Style (CMS)</w:t>
            </w:r>
          </w:p>
        </w:tc>
        <w:tc>
          <w:tcPr>
            <w:tcW w:w="2035" w:type="dxa"/>
          </w:tcPr>
          <w:p w14:paraId="69374EE3" w14:textId="77777777" w:rsidR="009F20CB" w:rsidRDefault="009F20CB" w:rsidP="00487152">
            <w:pPr>
              <w:tabs>
                <w:tab w:val="left" w:pos="1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6" w:type="dxa"/>
          </w:tcPr>
          <w:p w14:paraId="09DA4E28" w14:textId="0AAAE9BC" w:rsidR="009F20CB" w:rsidRDefault="007A3BA9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A75098">
              <w:t xml:space="preserve">  0</w:t>
            </w:r>
          </w:p>
        </w:tc>
        <w:tc>
          <w:tcPr>
            <w:tcW w:w="1648" w:type="dxa"/>
          </w:tcPr>
          <w:p w14:paraId="16F51965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53DBE865" w14:textId="7394D84A" w:rsidR="009F20CB" w:rsidRDefault="00A81724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A75098">
              <w:t>0</w:t>
            </w:r>
          </w:p>
        </w:tc>
        <w:tc>
          <w:tcPr>
            <w:tcW w:w="1161" w:type="dxa"/>
          </w:tcPr>
          <w:p w14:paraId="366F4714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CB4" w14:paraId="362CB33F" w14:textId="77777777" w:rsidTr="00A8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79BD3F0" w14:textId="77777777" w:rsidR="009F20CB" w:rsidRDefault="009F20CB" w:rsidP="00487152">
            <w:r>
              <w:t>3</w:t>
            </w:r>
          </w:p>
        </w:tc>
        <w:tc>
          <w:tcPr>
            <w:tcW w:w="2023" w:type="dxa"/>
          </w:tcPr>
          <w:p w14:paraId="201E7927" w14:textId="77777777" w:rsidR="009F20CB" w:rsidRDefault="00625A3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Modern Language Association (MLA)</w:t>
            </w:r>
          </w:p>
        </w:tc>
        <w:tc>
          <w:tcPr>
            <w:tcW w:w="2035" w:type="dxa"/>
          </w:tcPr>
          <w:p w14:paraId="4C1A9446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32B729BB" w14:textId="71D251E2" w:rsidR="009F20CB" w:rsidRDefault="00034B57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3D2E23">
              <w:t xml:space="preserve">  0</w:t>
            </w:r>
          </w:p>
        </w:tc>
        <w:tc>
          <w:tcPr>
            <w:tcW w:w="1648" w:type="dxa"/>
          </w:tcPr>
          <w:p w14:paraId="37C8BEC7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2B4BBBF3" w14:textId="096D40F3" w:rsidR="009F20CB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D2E23">
              <w:t>0</w:t>
            </w:r>
          </w:p>
        </w:tc>
        <w:tc>
          <w:tcPr>
            <w:tcW w:w="1161" w:type="dxa"/>
          </w:tcPr>
          <w:p w14:paraId="13762316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CB4" w14:paraId="2B08B267" w14:textId="77777777" w:rsidTr="00A8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BE550D3" w14:textId="77777777" w:rsidR="009F20CB" w:rsidRDefault="009F20CB" w:rsidP="00487152">
            <w:r>
              <w:t>4</w:t>
            </w:r>
          </w:p>
        </w:tc>
        <w:tc>
          <w:tcPr>
            <w:tcW w:w="2023" w:type="dxa"/>
          </w:tcPr>
          <w:p w14:paraId="575A9FCB" w14:textId="77777777" w:rsidR="009F20CB" w:rsidRDefault="00625A34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Avoiding Plagiarism </w:t>
            </w:r>
          </w:p>
        </w:tc>
        <w:tc>
          <w:tcPr>
            <w:tcW w:w="2035" w:type="dxa"/>
          </w:tcPr>
          <w:p w14:paraId="4AB11360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0641218C" w14:textId="0F346AE3" w:rsidR="009F20CB" w:rsidRDefault="007A3BA9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A75098">
              <w:t>54</w:t>
            </w:r>
          </w:p>
        </w:tc>
        <w:tc>
          <w:tcPr>
            <w:tcW w:w="1648" w:type="dxa"/>
          </w:tcPr>
          <w:p w14:paraId="0BB098E8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10E6B3BB" w14:textId="2F9157A9" w:rsidR="009F20CB" w:rsidRDefault="00034B57" w:rsidP="003D2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D2E23">
              <w:t>13</w:t>
            </w:r>
          </w:p>
        </w:tc>
        <w:tc>
          <w:tcPr>
            <w:tcW w:w="1161" w:type="dxa"/>
          </w:tcPr>
          <w:p w14:paraId="7D89D04A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CB4" w14:paraId="6CEB3594" w14:textId="77777777" w:rsidTr="00A8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7B0D54A" w14:textId="77777777" w:rsidR="009F20CB" w:rsidRDefault="009F20CB" w:rsidP="00487152">
            <w:r>
              <w:t>5</w:t>
            </w:r>
          </w:p>
        </w:tc>
        <w:tc>
          <w:tcPr>
            <w:tcW w:w="2023" w:type="dxa"/>
          </w:tcPr>
          <w:p w14:paraId="25F33061" w14:textId="77777777" w:rsidR="009F20CB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Research/Conference</w:t>
            </w:r>
          </w:p>
          <w:p w14:paraId="7D93D16D" w14:textId="77777777" w:rsidR="00A81724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Proposal</w:t>
            </w:r>
          </w:p>
        </w:tc>
        <w:tc>
          <w:tcPr>
            <w:tcW w:w="2035" w:type="dxa"/>
          </w:tcPr>
          <w:p w14:paraId="2AD63AC9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7799F1FB" w14:textId="018B2F75" w:rsidR="009F20CB" w:rsidRDefault="00034B57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A75098">
              <w:t xml:space="preserve">  0</w:t>
            </w:r>
          </w:p>
        </w:tc>
        <w:tc>
          <w:tcPr>
            <w:tcW w:w="1648" w:type="dxa"/>
          </w:tcPr>
          <w:p w14:paraId="67E51687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5A9E2C0E" w14:textId="2B78BAA9" w:rsidR="009F20CB" w:rsidRDefault="00034B57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A75098">
              <w:t xml:space="preserve"> 0</w:t>
            </w:r>
          </w:p>
        </w:tc>
        <w:tc>
          <w:tcPr>
            <w:tcW w:w="1161" w:type="dxa"/>
          </w:tcPr>
          <w:p w14:paraId="010D0E53" w14:textId="77777777" w:rsidR="009F20CB" w:rsidRDefault="009F20CB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CB4" w14:paraId="5575F961" w14:textId="77777777" w:rsidTr="00A8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16736E26" w14:textId="77777777" w:rsidR="009F20CB" w:rsidRDefault="009F20CB" w:rsidP="00487152">
            <w:r>
              <w:t>6</w:t>
            </w:r>
          </w:p>
        </w:tc>
        <w:tc>
          <w:tcPr>
            <w:tcW w:w="2023" w:type="dxa"/>
          </w:tcPr>
          <w:p w14:paraId="65555EBA" w14:textId="77777777" w:rsidR="009F20CB" w:rsidRDefault="00625A34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Collaborative Writing</w:t>
            </w:r>
          </w:p>
        </w:tc>
        <w:tc>
          <w:tcPr>
            <w:tcW w:w="2035" w:type="dxa"/>
          </w:tcPr>
          <w:p w14:paraId="171FE4E2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3D9C6760" w14:textId="246B195F" w:rsidR="009F20CB" w:rsidRDefault="00034B57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A75098">
              <w:t xml:space="preserve"> </w:t>
            </w:r>
            <w:r w:rsidR="003D2E23">
              <w:t>55</w:t>
            </w:r>
          </w:p>
        </w:tc>
        <w:tc>
          <w:tcPr>
            <w:tcW w:w="1648" w:type="dxa"/>
          </w:tcPr>
          <w:p w14:paraId="3436AD56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30A47F74" w14:textId="6B2F1FBA" w:rsidR="009F20CB" w:rsidRDefault="00034B57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A75098">
              <w:t xml:space="preserve"> 0</w:t>
            </w:r>
          </w:p>
        </w:tc>
        <w:tc>
          <w:tcPr>
            <w:tcW w:w="1161" w:type="dxa"/>
          </w:tcPr>
          <w:p w14:paraId="31BA5C5C" w14:textId="77777777" w:rsidR="009F20CB" w:rsidRDefault="009F20CB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724" w14:paraId="13219BDB" w14:textId="77777777" w:rsidTr="00A8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9ECF4C7" w14:textId="77777777" w:rsidR="00A81724" w:rsidRDefault="00A81724" w:rsidP="00487152">
            <w:r>
              <w:t>7</w:t>
            </w:r>
          </w:p>
        </w:tc>
        <w:tc>
          <w:tcPr>
            <w:tcW w:w="2023" w:type="dxa"/>
          </w:tcPr>
          <w:p w14:paraId="02773769" w14:textId="77777777" w:rsidR="00A81724" w:rsidRDefault="00181515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Writing an In-Class Essay</w:t>
            </w:r>
          </w:p>
        </w:tc>
        <w:tc>
          <w:tcPr>
            <w:tcW w:w="2035" w:type="dxa"/>
          </w:tcPr>
          <w:p w14:paraId="329564B4" w14:textId="77777777" w:rsidR="00A81724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284511A8" w14:textId="68452ED5" w:rsidR="00A81724" w:rsidRDefault="007A3BA9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B22EED">
              <w:t xml:space="preserve"> </w:t>
            </w:r>
            <w:r w:rsidR="003D2E23">
              <w:t>74</w:t>
            </w:r>
          </w:p>
          <w:p w14:paraId="7CC3105A" w14:textId="77777777" w:rsidR="00B22EED" w:rsidRDefault="00B22EED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625740FB" w14:textId="77777777" w:rsidR="00A81724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4864D9CA" w14:textId="08D89220" w:rsidR="00A81724" w:rsidRDefault="007A3BA9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D2E23">
              <w:t>59</w:t>
            </w:r>
          </w:p>
        </w:tc>
        <w:tc>
          <w:tcPr>
            <w:tcW w:w="1161" w:type="dxa"/>
          </w:tcPr>
          <w:p w14:paraId="6003F6D8" w14:textId="77777777" w:rsidR="00A81724" w:rsidRDefault="00A81724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098" w14:paraId="2ABDCF37" w14:textId="77777777" w:rsidTr="00A817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5348B26A" w14:textId="6EC417FE" w:rsidR="00A75098" w:rsidRDefault="00A75098" w:rsidP="00487152">
            <w:r>
              <w:t>8</w:t>
            </w:r>
          </w:p>
        </w:tc>
        <w:tc>
          <w:tcPr>
            <w:tcW w:w="2023" w:type="dxa"/>
          </w:tcPr>
          <w:p w14:paraId="26F1629A" w14:textId="0891CCE9" w:rsidR="00A75098" w:rsidRDefault="00A75098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to Write a Literature Review</w:t>
            </w:r>
          </w:p>
        </w:tc>
        <w:tc>
          <w:tcPr>
            <w:tcW w:w="2035" w:type="dxa"/>
          </w:tcPr>
          <w:p w14:paraId="15607C79" w14:textId="77777777" w:rsidR="00A75098" w:rsidRDefault="00A75098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3193EF39" w14:textId="4C42F9F6" w:rsidR="00A75098" w:rsidRDefault="00A75098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0                        </w:t>
            </w:r>
          </w:p>
        </w:tc>
        <w:tc>
          <w:tcPr>
            <w:tcW w:w="1648" w:type="dxa"/>
          </w:tcPr>
          <w:p w14:paraId="134D1934" w14:textId="77777777" w:rsidR="00A75098" w:rsidRDefault="00A75098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0FCC9BE9" w14:textId="5FBAD1D4" w:rsidR="00A75098" w:rsidRDefault="003D2E23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A75098">
              <w:t>32</w:t>
            </w:r>
          </w:p>
        </w:tc>
        <w:tc>
          <w:tcPr>
            <w:tcW w:w="1161" w:type="dxa"/>
          </w:tcPr>
          <w:p w14:paraId="37860014" w14:textId="77777777" w:rsidR="00A75098" w:rsidRDefault="00A75098" w:rsidP="00487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098" w14:paraId="6D783A98" w14:textId="77777777" w:rsidTr="00A81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AAF4A44" w14:textId="2AD1D837" w:rsidR="00A75098" w:rsidRDefault="00A75098" w:rsidP="00487152">
            <w:r>
              <w:t>9</w:t>
            </w:r>
          </w:p>
        </w:tc>
        <w:tc>
          <w:tcPr>
            <w:tcW w:w="2023" w:type="dxa"/>
          </w:tcPr>
          <w:p w14:paraId="41C10053" w14:textId="22E2CB81" w:rsidR="00A75098" w:rsidRDefault="00A75098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Cover Letters and Resumes</w:t>
            </w:r>
          </w:p>
        </w:tc>
        <w:tc>
          <w:tcPr>
            <w:tcW w:w="2035" w:type="dxa"/>
          </w:tcPr>
          <w:p w14:paraId="24364007" w14:textId="77777777" w:rsidR="00A75098" w:rsidRDefault="00A75098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6" w:type="dxa"/>
          </w:tcPr>
          <w:p w14:paraId="50431825" w14:textId="76507479" w:rsidR="00A75098" w:rsidRDefault="00A75098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4</w:t>
            </w:r>
          </w:p>
        </w:tc>
        <w:tc>
          <w:tcPr>
            <w:tcW w:w="1648" w:type="dxa"/>
          </w:tcPr>
          <w:p w14:paraId="390227D9" w14:textId="77777777" w:rsidR="00A75098" w:rsidRDefault="00A75098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14:paraId="22BF7298" w14:textId="7225BD82" w:rsidR="00A75098" w:rsidRDefault="00A75098" w:rsidP="003D2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3</w:t>
            </w:r>
          </w:p>
        </w:tc>
        <w:tc>
          <w:tcPr>
            <w:tcW w:w="1161" w:type="dxa"/>
          </w:tcPr>
          <w:p w14:paraId="259C04FE" w14:textId="77777777" w:rsidR="00A75098" w:rsidRDefault="00A75098" w:rsidP="00487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64DCCE" w14:textId="77777777" w:rsidR="009F20CB" w:rsidRPr="009F20CB" w:rsidRDefault="009F20CB" w:rsidP="009A63F5">
      <w:pPr>
        <w:rPr>
          <w:b/>
        </w:rPr>
      </w:pPr>
    </w:p>
    <w:p w14:paraId="37777FD0" w14:textId="77777777" w:rsidR="002961C2" w:rsidRPr="00E00EA7" w:rsidRDefault="002961C2" w:rsidP="009A63F5"/>
    <w:p w14:paraId="7E6F1225" w14:textId="77777777" w:rsidR="00BC59D7" w:rsidRDefault="00BC59D7" w:rsidP="009A63F5"/>
    <w:p w14:paraId="06180F81" w14:textId="71331315" w:rsidR="00487152" w:rsidRDefault="00BC279C" w:rsidP="009A63F5">
      <w:r>
        <w:t xml:space="preserve">Workshops are conducted </w:t>
      </w:r>
      <w:r w:rsidR="003D2E23">
        <w:t>in both the Commons building and in classrooms across campus.</w:t>
      </w:r>
      <w:r w:rsidR="007C5C10">
        <w:t xml:space="preserve"> </w:t>
      </w:r>
      <w:r w:rsidR="0015697A">
        <w:t>A total of 20-30 presentations are</w:t>
      </w:r>
      <w:r w:rsidR="003D2E23">
        <w:t xml:space="preserve"> </w:t>
      </w:r>
      <w:r w:rsidR="0015697A">
        <w:t xml:space="preserve">offered each semester. </w:t>
      </w:r>
    </w:p>
    <w:p w14:paraId="6417774B" w14:textId="77777777" w:rsidR="009F71C4" w:rsidRDefault="009F71C4" w:rsidP="009A63F5"/>
    <w:p w14:paraId="7B738B9A" w14:textId="0258A016" w:rsidR="00E06DD6" w:rsidRDefault="00E06DD6" w:rsidP="00E06DD6">
      <w:pPr>
        <w:rPr>
          <w:b/>
        </w:rPr>
      </w:pPr>
      <w:r w:rsidRPr="00523AC6">
        <w:rPr>
          <w:b/>
        </w:rPr>
        <w:t>Professional Development</w:t>
      </w:r>
      <w:r w:rsidR="00483E39">
        <w:rPr>
          <w:b/>
        </w:rPr>
        <w:t xml:space="preserve"> Faculty</w:t>
      </w:r>
      <w:r w:rsidR="00174414">
        <w:rPr>
          <w:b/>
        </w:rPr>
        <w:t>/Staff</w:t>
      </w:r>
      <w:r w:rsidR="00483E39">
        <w:rPr>
          <w:b/>
        </w:rPr>
        <w:t xml:space="preserve"> Retreat</w:t>
      </w:r>
    </w:p>
    <w:p w14:paraId="1ABF8211" w14:textId="77777777" w:rsidR="00483E39" w:rsidRPr="00523AC6" w:rsidRDefault="00483E39" w:rsidP="00E06DD6">
      <w:pPr>
        <w:rPr>
          <w:b/>
        </w:rPr>
      </w:pPr>
    </w:p>
    <w:p w14:paraId="1F6A7A8E" w14:textId="77777777" w:rsidR="007C5C10" w:rsidRDefault="00F95FD0" w:rsidP="00A61B2B">
      <w:r>
        <w:t xml:space="preserve">The </w:t>
      </w:r>
      <w:r w:rsidR="00E06DD6">
        <w:t>CWE</w:t>
      </w:r>
      <w:r w:rsidR="00C04505">
        <w:t xml:space="preserve"> partners with Collier L</w:t>
      </w:r>
      <w:r w:rsidR="008A2668">
        <w:t>ibrary to</w:t>
      </w:r>
      <w:r>
        <w:t xml:space="preserve"> offer a one-week writing and research retreat each May</w:t>
      </w:r>
      <w:r w:rsidR="008A2668">
        <w:t xml:space="preserve"> to assist with faculty/staff professional development. </w:t>
      </w:r>
      <w:r w:rsidR="00254389">
        <w:t>Each year</w:t>
      </w:r>
      <w:r w:rsidR="00A61B2B">
        <w:t xml:space="preserve"> a call </w:t>
      </w:r>
      <w:r w:rsidR="00254389">
        <w:t>is sent via email across campus</w:t>
      </w:r>
      <w:r w:rsidR="00A61B2B">
        <w:t xml:space="preserve"> announcing the faculty/staff writing retreat which is offered every third week of May</w:t>
      </w:r>
      <w:r w:rsidR="00A01065">
        <w:t>.</w:t>
      </w:r>
      <w:r w:rsidR="00A61B2B">
        <w:t xml:space="preserve"> </w:t>
      </w:r>
    </w:p>
    <w:p w14:paraId="70EF6FBA" w14:textId="77777777" w:rsidR="007C5C10" w:rsidRDefault="007C5C10" w:rsidP="00A61B2B"/>
    <w:p w14:paraId="1581C701" w14:textId="6A177B3F" w:rsidR="00A61B2B" w:rsidRDefault="00A61B2B" w:rsidP="00A61B2B">
      <w:r>
        <w:t>The expenses for this retreat include food and beverages for the entire week, including continental breakfast and</w:t>
      </w:r>
      <w:r w:rsidR="0097712B">
        <w:t xml:space="preserve"> boxed</w:t>
      </w:r>
      <w:r>
        <w:t xml:space="preserve"> lunch. The idea of including food is so that the faculty/staff </w:t>
      </w:r>
      <w:r w:rsidR="00BF5045">
        <w:t>do not leave the retreat</w:t>
      </w:r>
      <w:r w:rsidR="00A06ED2">
        <w:t>,</w:t>
      </w:r>
      <w:r w:rsidR="00BF5045">
        <w:t xml:space="preserve"> in order to fully</w:t>
      </w:r>
      <w:r>
        <w:t xml:space="preserve"> concentrate on their writing projects without distractions. </w:t>
      </w:r>
      <w:r w:rsidR="007C5C10">
        <w:t>***</w:t>
      </w:r>
      <w:r w:rsidR="007C5C10" w:rsidRPr="007C5C10">
        <w:t xml:space="preserve"> </w:t>
      </w:r>
      <w:r w:rsidR="007C5C10">
        <w:t>The expenses for this year’s retreat cost just over $1300.00</w:t>
      </w:r>
      <w:r w:rsidR="00472B47">
        <w:t xml:space="preserve">, using the dining services of Chartwells. </w:t>
      </w:r>
    </w:p>
    <w:p w14:paraId="2EBC3ACB" w14:textId="77777777" w:rsidR="00A61B2B" w:rsidRDefault="00A61B2B" w:rsidP="00E06DD6"/>
    <w:p w14:paraId="54C066A5" w14:textId="084807B6" w:rsidR="00E06DD6" w:rsidRPr="00A20F84" w:rsidRDefault="00F95FD0" w:rsidP="00E06DD6">
      <w:pPr>
        <w:rPr>
          <w:b/>
        </w:rPr>
      </w:pPr>
      <w:r w:rsidRPr="00A20F84">
        <w:rPr>
          <w:b/>
        </w:rPr>
        <w:t>Faculty</w:t>
      </w:r>
      <w:r w:rsidR="003D2E23" w:rsidRPr="00A20F84">
        <w:rPr>
          <w:b/>
        </w:rPr>
        <w:t>/Staff</w:t>
      </w:r>
      <w:r w:rsidRPr="00A20F84">
        <w:rPr>
          <w:b/>
        </w:rPr>
        <w:t xml:space="preserve"> Writing </w:t>
      </w:r>
      <w:r w:rsidR="00A01065" w:rsidRPr="00A20F84">
        <w:rPr>
          <w:b/>
        </w:rPr>
        <w:t xml:space="preserve">Retreat Participants for May </w:t>
      </w:r>
      <w:r w:rsidR="00442D43" w:rsidRPr="00A20F84">
        <w:rPr>
          <w:b/>
        </w:rPr>
        <w:t>2019</w:t>
      </w:r>
    </w:p>
    <w:p w14:paraId="3A6FDF30" w14:textId="1C9E4511" w:rsidR="00A01065" w:rsidRDefault="00A01065" w:rsidP="00E06DD6"/>
    <w:p w14:paraId="7ECC5D63" w14:textId="2D9945B8" w:rsidR="00A01065" w:rsidRDefault="003D2E23" w:rsidP="003D2E23">
      <w:pPr>
        <w:pStyle w:val="ListParagraph"/>
        <w:numPr>
          <w:ilvl w:val="0"/>
          <w:numId w:val="6"/>
        </w:numPr>
      </w:pPr>
      <w:r>
        <w:t>Dr. Brenna Wardell, English Faculty</w:t>
      </w:r>
    </w:p>
    <w:p w14:paraId="6C147630" w14:textId="728F315D" w:rsidR="003D2E23" w:rsidRDefault="003D2E23" w:rsidP="003D2E23">
      <w:pPr>
        <w:pStyle w:val="ListParagraph"/>
        <w:numPr>
          <w:ilvl w:val="0"/>
          <w:numId w:val="6"/>
        </w:numPr>
      </w:pPr>
      <w:r>
        <w:t>Mr. Steven Melvin, English Department</w:t>
      </w:r>
    </w:p>
    <w:p w14:paraId="592736C5" w14:textId="4CE73082" w:rsidR="003D2E23" w:rsidRDefault="003D2E23" w:rsidP="003D2E23">
      <w:pPr>
        <w:pStyle w:val="ListParagraph"/>
        <w:numPr>
          <w:ilvl w:val="0"/>
          <w:numId w:val="6"/>
        </w:numPr>
      </w:pPr>
      <w:r>
        <w:t>Dr. Scott Infanger, Foreign Language</w:t>
      </w:r>
    </w:p>
    <w:p w14:paraId="5C3CD074" w14:textId="72F83EDD" w:rsidR="003D2E23" w:rsidRDefault="003D2E23" w:rsidP="003D2E23">
      <w:pPr>
        <w:pStyle w:val="ListParagraph"/>
        <w:numPr>
          <w:ilvl w:val="0"/>
          <w:numId w:val="6"/>
        </w:numPr>
      </w:pPr>
      <w:r>
        <w:t>Dr. Alejandra Alvarado-Brizuela, Foreign Language</w:t>
      </w:r>
    </w:p>
    <w:p w14:paraId="0D76F4B7" w14:textId="747C5171" w:rsidR="003D2E23" w:rsidRDefault="003D2E23" w:rsidP="003D2E23">
      <w:pPr>
        <w:pStyle w:val="ListParagraph"/>
        <w:numPr>
          <w:ilvl w:val="0"/>
          <w:numId w:val="6"/>
        </w:numPr>
      </w:pPr>
      <w:r>
        <w:t>Dr. Andrea Nate, Foreign Language</w:t>
      </w:r>
    </w:p>
    <w:p w14:paraId="604D4805" w14:textId="6CE90486" w:rsidR="003D2E23" w:rsidRDefault="003D2E23" w:rsidP="003D2E23">
      <w:pPr>
        <w:pStyle w:val="ListParagraph"/>
        <w:numPr>
          <w:ilvl w:val="0"/>
          <w:numId w:val="6"/>
        </w:numPr>
      </w:pPr>
      <w:r>
        <w:t xml:space="preserve">Mr. Jason Pangilinan </w:t>
      </w:r>
    </w:p>
    <w:p w14:paraId="425F7A1F" w14:textId="23DF953E" w:rsidR="00D75033" w:rsidRDefault="00D75033" w:rsidP="003D2E23">
      <w:pPr>
        <w:pStyle w:val="ListParagraph"/>
        <w:numPr>
          <w:ilvl w:val="0"/>
          <w:numId w:val="6"/>
        </w:numPr>
      </w:pPr>
      <w:r>
        <w:t>Dr. Kathleen Richards</w:t>
      </w:r>
    </w:p>
    <w:p w14:paraId="4E449916" w14:textId="77777777" w:rsidR="008C0E5B" w:rsidRDefault="008C0E5B" w:rsidP="00E06DD6"/>
    <w:p w14:paraId="38B1B55D" w14:textId="00023802" w:rsidR="00F65A2B" w:rsidRDefault="007C5C10" w:rsidP="00734EA3">
      <w:pPr>
        <w:rPr>
          <w:b/>
        </w:rPr>
      </w:pPr>
      <w:r>
        <w:t xml:space="preserve">***The participation for this year’s retreat was fewer than previous years due to conflicts in schedules. </w:t>
      </w:r>
      <w:r w:rsidR="00D75033">
        <w:t xml:space="preserve">The </w:t>
      </w:r>
      <w:r>
        <w:t>average</w:t>
      </w:r>
      <w:r w:rsidR="00D75033">
        <w:t xml:space="preserve"> number of</w:t>
      </w:r>
      <w:r>
        <w:t xml:space="preserve"> attendees </w:t>
      </w:r>
      <w:r w:rsidR="00D75033">
        <w:t>who</w:t>
      </w:r>
      <w:r>
        <w:t xml:space="preserve"> part</w:t>
      </w:r>
      <w:r w:rsidR="00690C59">
        <w:t>ake</w:t>
      </w:r>
      <w:r>
        <w:t xml:space="preserve"> in the retreat every year</w:t>
      </w:r>
      <w:r w:rsidR="00D75033">
        <w:t xml:space="preserve"> is 14. </w:t>
      </w:r>
      <w:r>
        <w:t xml:space="preserve">  </w:t>
      </w:r>
    </w:p>
    <w:sectPr w:rsidR="00F65A2B" w:rsidSect="001075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122C" w14:textId="77777777" w:rsidR="00F66AE2" w:rsidRDefault="00F66AE2" w:rsidP="001D6B0D">
      <w:r>
        <w:separator/>
      </w:r>
    </w:p>
  </w:endnote>
  <w:endnote w:type="continuationSeparator" w:id="0">
    <w:p w14:paraId="3CC9D637" w14:textId="77777777" w:rsidR="00F66AE2" w:rsidRDefault="00F66AE2" w:rsidP="001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977249"/>
      <w:docPartObj>
        <w:docPartGallery w:val="Page Numbers (Bottom of Page)"/>
        <w:docPartUnique/>
      </w:docPartObj>
    </w:sdtPr>
    <w:sdtEndPr/>
    <w:sdtContent>
      <w:p w14:paraId="03CEAADC" w14:textId="67B2A040" w:rsidR="00537068" w:rsidRDefault="005370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B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7D63F5" w14:textId="77777777" w:rsidR="00537068" w:rsidRDefault="0053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9F8B" w14:textId="77777777" w:rsidR="00F66AE2" w:rsidRDefault="00F66AE2" w:rsidP="001D6B0D">
      <w:r>
        <w:separator/>
      </w:r>
    </w:p>
  </w:footnote>
  <w:footnote w:type="continuationSeparator" w:id="0">
    <w:p w14:paraId="6F1FF7D3" w14:textId="77777777" w:rsidR="00F66AE2" w:rsidRDefault="00F66AE2" w:rsidP="001D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A37"/>
    <w:multiLevelType w:val="hybridMultilevel"/>
    <w:tmpl w:val="11A0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6739"/>
    <w:multiLevelType w:val="multilevel"/>
    <w:tmpl w:val="0409001D"/>
    <w:styleLink w:val="Themis"/>
    <w:lvl w:ilvl="0">
      <w:start w:val="1"/>
      <w:numFmt w:val="upperRoman"/>
      <w:lvlText w:val="%1)"/>
      <w:lvlJc w:val="left"/>
      <w:pPr>
        <w:ind w:left="360" w:hanging="360"/>
      </w:pPr>
      <w:rPr>
        <w:rFonts w:ascii="Tahoma" w:hAnsi="Tahoma"/>
        <w:b/>
        <w:sz w:val="28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ahoma" w:hAnsi="Tahoma"/>
        <w:b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ahoma" w:hAnsi="Tahoma"/>
        <w:b/>
        <w:sz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ahoma" w:hAnsi="Tahoma"/>
        <w:b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ahoma" w:hAnsi="Tahoma"/>
        <w:b/>
        <w:sz w:val="22"/>
      </w:r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672FC7"/>
    <w:multiLevelType w:val="hybridMultilevel"/>
    <w:tmpl w:val="87CC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27177"/>
    <w:multiLevelType w:val="hybridMultilevel"/>
    <w:tmpl w:val="7A18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36838"/>
    <w:multiLevelType w:val="hybridMultilevel"/>
    <w:tmpl w:val="82267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E7AED"/>
    <w:multiLevelType w:val="hybridMultilevel"/>
    <w:tmpl w:val="6E24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F5"/>
    <w:rsid w:val="0000131A"/>
    <w:rsid w:val="00004F1A"/>
    <w:rsid w:val="00007BDD"/>
    <w:rsid w:val="00017A52"/>
    <w:rsid w:val="00033DDD"/>
    <w:rsid w:val="00034B57"/>
    <w:rsid w:val="000366F8"/>
    <w:rsid w:val="00050DDA"/>
    <w:rsid w:val="00054E18"/>
    <w:rsid w:val="000556B4"/>
    <w:rsid w:val="000608BC"/>
    <w:rsid w:val="00060C25"/>
    <w:rsid w:val="000730E2"/>
    <w:rsid w:val="00074ABF"/>
    <w:rsid w:val="000754A7"/>
    <w:rsid w:val="0007572A"/>
    <w:rsid w:val="0008765A"/>
    <w:rsid w:val="00094F52"/>
    <w:rsid w:val="00097317"/>
    <w:rsid w:val="000A4EAA"/>
    <w:rsid w:val="000A5770"/>
    <w:rsid w:val="000A5AEB"/>
    <w:rsid w:val="000C0B67"/>
    <w:rsid w:val="000E74F5"/>
    <w:rsid w:val="000F34CB"/>
    <w:rsid w:val="000F5399"/>
    <w:rsid w:val="000F57B6"/>
    <w:rsid w:val="0010344E"/>
    <w:rsid w:val="00106ED8"/>
    <w:rsid w:val="001073CC"/>
    <w:rsid w:val="001075EC"/>
    <w:rsid w:val="00112488"/>
    <w:rsid w:val="0012438B"/>
    <w:rsid w:val="00127E59"/>
    <w:rsid w:val="00132215"/>
    <w:rsid w:val="001328FF"/>
    <w:rsid w:val="00134999"/>
    <w:rsid w:val="00137689"/>
    <w:rsid w:val="001444C4"/>
    <w:rsid w:val="00154BBF"/>
    <w:rsid w:val="0015697A"/>
    <w:rsid w:val="001607C4"/>
    <w:rsid w:val="001612B8"/>
    <w:rsid w:val="00174414"/>
    <w:rsid w:val="00181515"/>
    <w:rsid w:val="001B44C8"/>
    <w:rsid w:val="001C3EE9"/>
    <w:rsid w:val="001D0567"/>
    <w:rsid w:val="001D1A69"/>
    <w:rsid w:val="001D6B0D"/>
    <w:rsid w:val="001E5838"/>
    <w:rsid w:val="001E6F8C"/>
    <w:rsid w:val="00213CB4"/>
    <w:rsid w:val="00226573"/>
    <w:rsid w:val="002343D3"/>
    <w:rsid w:val="00244ED4"/>
    <w:rsid w:val="00251A36"/>
    <w:rsid w:val="00254389"/>
    <w:rsid w:val="00255936"/>
    <w:rsid w:val="002600EF"/>
    <w:rsid w:val="00271542"/>
    <w:rsid w:val="0028512C"/>
    <w:rsid w:val="00286446"/>
    <w:rsid w:val="0028705F"/>
    <w:rsid w:val="00293BFD"/>
    <w:rsid w:val="002961C2"/>
    <w:rsid w:val="002A0CED"/>
    <w:rsid w:val="002A2D2E"/>
    <w:rsid w:val="002B3BF1"/>
    <w:rsid w:val="002B5978"/>
    <w:rsid w:val="002C23C5"/>
    <w:rsid w:val="002C2DD0"/>
    <w:rsid w:val="002D0381"/>
    <w:rsid w:val="002F6101"/>
    <w:rsid w:val="0031534B"/>
    <w:rsid w:val="0031554D"/>
    <w:rsid w:val="00316454"/>
    <w:rsid w:val="00323331"/>
    <w:rsid w:val="0033490B"/>
    <w:rsid w:val="003510FB"/>
    <w:rsid w:val="00351662"/>
    <w:rsid w:val="00352867"/>
    <w:rsid w:val="003616B1"/>
    <w:rsid w:val="003661D1"/>
    <w:rsid w:val="0036710C"/>
    <w:rsid w:val="00372426"/>
    <w:rsid w:val="0039455F"/>
    <w:rsid w:val="003C4BB2"/>
    <w:rsid w:val="003D2E23"/>
    <w:rsid w:val="003D599C"/>
    <w:rsid w:val="003E6C7F"/>
    <w:rsid w:val="00400FC1"/>
    <w:rsid w:val="004051D5"/>
    <w:rsid w:val="00414149"/>
    <w:rsid w:val="004235C6"/>
    <w:rsid w:val="00442D43"/>
    <w:rsid w:val="00447B0F"/>
    <w:rsid w:val="004651CD"/>
    <w:rsid w:val="00466815"/>
    <w:rsid w:val="00472744"/>
    <w:rsid w:val="00472B47"/>
    <w:rsid w:val="0047781F"/>
    <w:rsid w:val="00477BF0"/>
    <w:rsid w:val="004823D3"/>
    <w:rsid w:val="00483E39"/>
    <w:rsid w:val="00484EE3"/>
    <w:rsid w:val="00484F7F"/>
    <w:rsid w:val="00487152"/>
    <w:rsid w:val="00492859"/>
    <w:rsid w:val="004961A7"/>
    <w:rsid w:val="004A25C2"/>
    <w:rsid w:val="004A5DA2"/>
    <w:rsid w:val="004B31DE"/>
    <w:rsid w:val="004C4A02"/>
    <w:rsid w:val="004D3DF7"/>
    <w:rsid w:val="004D4566"/>
    <w:rsid w:val="004D5423"/>
    <w:rsid w:val="004E6583"/>
    <w:rsid w:val="004E7BC6"/>
    <w:rsid w:val="004E7DA0"/>
    <w:rsid w:val="00501000"/>
    <w:rsid w:val="00513EF2"/>
    <w:rsid w:val="00516438"/>
    <w:rsid w:val="005257A8"/>
    <w:rsid w:val="00537068"/>
    <w:rsid w:val="00541825"/>
    <w:rsid w:val="005454CA"/>
    <w:rsid w:val="005569F7"/>
    <w:rsid w:val="005615AC"/>
    <w:rsid w:val="00564017"/>
    <w:rsid w:val="00571B3F"/>
    <w:rsid w:val="0057279A"/>
    <w:rsid w:val="005759A3"/>
    <w:rsid w:val="00597796"/>
    <w:rsid w:val="005B07A8"/>
    <w:rsid w:val="005B28A6"/>
    <w:rsid w:val="005B3939"/>
    <w:rsid w:val="005B4FFC"/>
    <w:rsid w:val="005B7F72"/>
    <w:rsid w:val="005D1893"/>
    <w:rsid w:val="005E61B2"/>
    <w:rsid w:val="005F0350"/>
    <w:rsid w:val="006077F8"/>
    <w:rsid w:val="00610148"/>
    <w:rsid w:val="006176C9"/>
    <w:rsid w:val="00625A34"/>
    <w:rsid w:val="00625BC5"/>
    <w:rsid w:val="00632581"/>
    <w:rsid w:val="0063507D"/>
    <w:rsid w:val="00637750"/>
    <w:rsid w:val="00663EA4"/>
    <w:rsid w:val="00664103"/>
    <w:rsid w:val="00672347"/>
    <w:rsid w:val="006746E0"/>
    <w:rsid w:val="00675549"/>
    <w:rsid w:val="00677A60"/>
    <w:rsid w:val="00681254"/>
    <w:rsid w:val="006820AE"/>
    <w:rsid w:val="00690C59"/>
    <w:rsid w:val="006913CA"/>
    <w:rsid w:val="00692449"/>
    <w:rsid w:val="00694400"/>
    <w:rsid w:val="00696E2C"/>
    <w:rsid w:val="006B2BD1"/>
    <w:rsid w:val="006C0891"/>
    <w:rsid w:val="006C5012"/>
    <w:rsid w:val="006D43F8"/>
    <w:rsid w:val="006D68E3"/>
    <w:rsid w:val="006E1D81"/>
    <w:rsid w:val="006E37CB"/>
    <w:rsid w:val="006F01C9"/>
    <w:rsid w:val="006F02CB"/>
    <w:rsid w:val="006F0A53"/>
    <w:rsid w:val="006F1122"/>
    <w:rsid w:val="0072573E"/>
    <w:rsid w:val="00734BEF"/>
    <w:rsid w:val="00734EA3"/>
    <w:rsid w:val="007416EB"/>
    <w:rsid w:val="00741958"/>
    <w:rsid w:val="00744BAA"/>
    <w:rsid w:val="00750D2A"/>
    <w:rsid w:val="00751B10"/>
    <w:rsid w:val="007605F5"/>
    <w:rsid w:val="00764B37"/>
    <w:rsid w:val="00780831"/>
    <w:rsid w:val="00785B19"/>
    <w:rsid w:val="00787E77"/>
    <w:rsid w:val="007A3BA9"/>
    <w:rsid w:val="007A4E8A"/>
    <w:rsid w:val="007B0118"/>
    <w:rsid w:val="007B12BE"/>
    <w:rsid w:val="007B14C6"/>
    <w:rsid w:val="007B79FA"/>
    <w:rsid w:val="007C226F"/>
    <w:rsid w:val="007C3EDE"/>
    <w:rsid w:val="007C559D"/>
    <w:rsid w:val="007C5C10"/>
    <w:rsid w:val="007C74DE"/>
    <w:rsid w:val="007D0405"/>
    <w:rsid w:val="007D092C"/>
    <w:rsid w:val="007E3D57"/>
    <w:rsid w:val="007E668B"/>
    <w:rsid w:val="007F0B68"/>
    <w:rsid w:val="00804406"/>
    <w:rsid w:val="008163E6"/>
    <w:rsid w:val="00840DB0"/>
    <w:rsid w:val="00843171"/>
    <w:rsid w:val="00845961"/>
    <w:rsid w:val="00857005"/>
    <w:rsid w:val="00861BDB"/>
    <w:rsid w:val="00874115"/>
    <w:rsid w:val="00875B2C"/>
    <w:rsid w:val="00877B72"/>
    <w:rsid w:val="0088772F"/>
    <w:rsid w:val="008931DD"/>
    <w:rsid w:val="00896C58"/>
    <w:rsid w:val="00897096"/>
    <w:rsid w:val="008A2668"/>
    <w:rsid w:val="008A3754"/>
    <w:rsid w:val="008A4820"/>
    <w:rsid w:val="008B00EF"/>
    <w:rsid w:val="008B09A9"/>
    <w:rsid w:val="008C0E5B"/>
    <w:rsid w:val="008C2E21"/>
    <w:rsid w:val="008C5B52"/>
    <w:rsid w:val="008C6430"/>
    <w:rsid w:val="008D0465"/>
    <w:rsid w:val="008D55F7"/>
    <w:rsid w:val="008D56DC"/>
    <w:rsid w:val="008E5F30"/>
    <w:rsid w:val="009029D0"/>
    <w:rsid w:val="00915A14"/>
    <w:rsid w:val="0092147D"/>
    <w:rsid w:val="00924B28"/>
    <w:rsid w:val="00925414"/>
    <w:rsid w:val="0093196A"/>
    <w:rsid w:val="009329F5"/>
    <w:rsid w:val="009346B8"/>
    <w:rsid w:val="009419C6"/>
    <w:rsid w:val="00941DAB"/>
    <w:rsid w:val="009626A5"/>
    <w:rsid w:val="00963D00"/>
    <w:rsid w:val="009650C3"/>
    <w:rsid w:val="0097712B"/>
    <w:rsid w:val="00986F85"/>
    <w:rsid w:val="00987AAA"/>
    <w:rsid w:val="009970EA"/>
    <w:rsid w:val="009A0198"/>
    <w:rsid w:val="009A1009"/>
    <w:rsid w:val="009A4FA0"/>
    <w:rsid w:val="009A5A24"/>
    <w:rsid w:val="009A63F5"/>
    <w:rsid w:val="009B495E"/>
    <w:rsid w:val="009C3803"/>
    <w:rsid w:val="009D1052"/>
    <w:rsid w:val="009D1ECF"/>
    <w:rsid w:val="009E758C"/>
    <w:rsid w:val="009F20CB"/>
    <w:rsid w:val="009F31B1"/>
    <w:rsid w:val="009F71C4"/>
    <w:rsid w:val="009F7C9F"/>
    <w:rsid w:val="00A01065"/>
    <w:rsid w:val="00A0487F"/>
    <w:rsid w:val="00A059FA"/>
    <w:rsid w:val="00A06ED2"/>
    <w:rsid w:val="00A11BBB"/>
    <w:rsid w:val="00A1587C"/>
    <w:rsid w:val="00A20F84"/>
    <w:rsid w:val="00A27BC2"/>
    <w:rsid w:val="00A306E6"/>
    <w:rsid w:val="00A35128"/>
    <w:rsid w:val="00A4244B"/>
    <w:rsid w:val="00A50647"/>
    <w:rsid w:val="00A55649"/>
    <w:rsid w:val="00A61B2B"/>
    <w:rsid w:val="00A75098"/>
    <w:rsid w:val="00A80B91"/>
    <w:rsid w:val="00A81724"/>
    <w:rsid w:val="00A82C22"/>
    <w:rsid w:val="00A903C6"/>
    <w:rsid w:val="00A9113E"/>
    <w:rsid w:val="00A9168B"/>
    <w:rsid w:val="00A92AB2"/>
    <w:rsid w:val="00AA29C0"/>
    <w:rsid w:val="00AB32B9"/>
    <w:rsid w:val="00AB6760"/>
    <w:rsid w:val="00AC095D"/>
    <w:rsid w:val="00AD311C"/>
    <w:rsid w:val="00AF1951"/>
    <w:rsid w:val="00AF42E4"/>
    <w:rsid w:val="00B04389"/>
    <w:rsid w:val="00B224AA"/>
    <w:rsid w:val="00B22EED"/>
    <w:rsid w:val="00B27B70"/>
    <w:rsid w:val="00B32B81"/>
    <w:rsid w:val="00B335FE"/>
    <w:rsid w:val="00B338CB"/>
    <w:rsid w:val="00B47FFD"/>
    <w:rsid w:val="00B5157F"/>
    <w:rsid w:val="00B5650B"/>
    <w:rsid w:val="00B57673"/>
    <w:rsid w:val="00B6251A"/>
    <w:rsid w:val="00B6270C"/>
    <w:rsid w:val="00B62DD2"/>
    <w:rsid w:val="00B66849"/>
    <w:rsid w:val="00B677F1"/>
    <w:rsid w:val="00B74B58"/>
    <w:rsid w:val="00B8100B"/>
    <w:rsid w:val="00B824BE"/>
    <w:rsid w:val="00BB5B71"/>
    <w:rsid w:val="00BC279C"/>
    <w:rsid w:val="00BC4A09"/>
    <w:rsid w:val="00BC59D7"/>
    <w:rsid w:val="00BD1086"/>
    <w:rsid w:val="00BD2241"/>
    <w:rsid w:val="00BE0BE5"/>
    <w:rsid w:val="00BE1C68"/>
    <w:rsid w:val="00BE443E"/>
    <w:rsid w:val="00BE603C"/>
    <w:rsid w:val="00BF126D"/>
    <w:rsid w:val="00BF274A"/>
    <w:rsid w:val="00BF5045"/>
    <w:rsid w:val="00C0043E"/>
    <w:rsid w:val="00C0295D"/>
    <w:rsid w:val="00C04505"/>
    <w:rsid w:val="00C14E7C"/>
    <w:rsid w:val="00C15A03"/>
    <w:rsid w:val="00C341F3"/>
    <w:rsid w:val="00C60144"/>
    <w:rsid w:val="00C7172D"/>
    <w:rsid w:val="00C7180D"/>
    <w:rsid w:val="00C7400E"/>
    <w:rsid w:val="00C76196"/>
    <w:rsid w:val="00CA7087"/>
    <w:rsid w:val="00CB25DB"/>
    <w:rsid w:val="00CC2688"/>
    <w:rsid w:val="00CC395A"/>
    <w:rsid w:val="00CD3558"/>
    <w:rsid w:val="00CE113E"/>
    <w:rsid w:val="00CE173B"/>
    <w:rsid w:val="00CF36C6"/>
    <w:rsid w:val="00CF44BF"/>
    <w:rsid w:val="00CF6630"/>
    <w:rsid w:val="00D05BBA"/>
    <w:rsid w:val="00D15CA4"/>
    <w:rsid w:val="00D15E8D"/>
    <w:rsid w:val="00D236DE"/>
    <w:rsid w:val="00D23FAC"/>
    <w:rsid w:val="00D31E4E"/>
    <w:rsid w:val="00D33590"/>
    <w:rsid w:val="00D410F3"/>
    <w:rsid w:val="00D622D1"/>
    <w:rsid w:val="00D65DF6"/>
    <w:rsid w:val="00D75033"/>
    <w:rsid w:val="00D8095F"/>
    <w:rsid w:val="00D85C69"/>
    <w:rsid w:val="00D90783"/>
    <w:rsid w:val="00D91A04"/>
    <w:rsid w:val="00D97478"/>
    <w:rsid w:val="00DA360B"/>
    <w:rsid w:val="00DC200C"/>
    <w:rsid w:val="00DC4AF3"/>
    <w:rsid w:val="00E00CF4"/>
    <w:rsid w:val="00E00EA7"/>
    <w:rsid w:val="00E06DD6"/>
    <w:rsid w:val="00E210A1"/>
    <w:rsid w:val="00E2514C"/>
    <w:rsid w:val="00E30CA5"/>
    <w:rsid w:val="00E630C4"/>
    <w:rsid w:val="00E63CD2"/>
    <w:rsid w:val="00E71078"/>
    <w:rsid w:val="00E82D4A"/>
    <w:rsid w:val="00E86486"/>
    <w:rsid w:val="00E9259D"/>
    <w:rsid w:val="00EA03A5"/>
    <w:rsid w:val="00EA2565"/>
    <w:rsid w:val="00EA5F64"/>
    <w:rsid w:val="00EA7638"/>
    <w:rsid w:val="00EB285A"/>
    <w:rsid w:val="00EB5ECE"/>
    <w:rsid w:val="00EB627F"/>
    <w:rsid w:val="00EE4A29"/>
    <w:rsid w:val="00EF03CA"/>
    <w:rsid w:val="00EF5CD6"/>
    <w:rsid w:val="00F0699A"/>
    <w:rsid w:val="00F107C2"/>
    <w:rsid w:val="00F13F6F"/>
    <w:rsid w:val="00F156D7"/>
    <w:rsid w:val="00F3032F"/>
    <w:rsid w:val="00F44A66"/>
    <w:rsid w:val="00F65A2B"/>
    <w:rsid w:val="00F66AE2"/>
    <w:rsid w:val="00F81F3C"/>
    <w:rsid w:val="00F9167D"/>
    <w:rsid w:val="00F95FD0"/>
    <w:rsid w:val="00FA4F7E"/>
    <w:rsid w:val="00FA793F"/>
    <w:rsid w:val="00FB543B"/>
    <w:rsid w:val="00FB585D"/>
    <w:rsid w:val="00FC3BE4"/>
    <w:rsid w:val="00FD15D6"/>
    <w:rsid w:val="00FD3FCE"/>
    <w:rsid w:val="00FE32C3"/>
    <w:rsid w:val="00FE334A"/>
    <w:rsid w:val="00FE3800"/>
    <w:rsid w:val="00FF70F1"/>
    <w:rsid w:val="3CE78035"/>
    <w:rsid w:val="57EF4246"/>
    <w:rsid w:val="5888248A"/>
    <w:rsid w:val="7532A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ADC8"/>
  <w15:docId w15:val="{A2342BFC-BCB0-4521-858A-F37CBB9F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hemis">
    <w:name w:val="Themis"/>
    <w:uiPriority w:val="99"/>
    <w:rsid w:val="004651C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F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A63F5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0D"/>
  </w:style>
  <w:style w:type="paragraph" w:styleId="Footer">
    <w:name w:val="footer"/>
    <w:basedOn w:val="Normal"/>
    <w:link w:val="FooterChar"/>
    <w:uiPriority w:val="99"/>
    <w:unhideWhenUsed/>
    <w:rsid w:val="001D6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0D"/>
  </w:style>
  <w:style w:type="paragraph" w:styleId="ListParagraph">
    <w:name w:val="List Paragraph"/>
    <w:basedOn w:val="Normal"/>
    <w:uiPriority w:val="34"/>
    <w:qFormat/>
    <w:rsid w:val="00AF1951"/>
    <w:pPr>
      <w:ind w:left="720"/>
      <w:contextualSpacing/>
    </w:pPr>
  </w:style>
  <w:style w:type="table" w:styleId="TableGrid">
    <w:name w:val="Table Grid"/>
    <w:basedOn w:val="TableNormal"/>
    <w:uiPriority w:val="59"/>
    <w:rsid w:val="00734B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7F0B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5B28A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B28A6"/>
    <w:rPr>
      <w:rFonts w:asciiTheme="minorHAnsi" w:eastAsiaTheme="minorEastAsia" w:hAnsiTheme="minorHAnsi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8A6"/>
    <w:rPr>
      <w:rFonts w:asciiTheme="minorHAnsi" w:eastAsiaTheme="minorEastAsia" w:hAnsiTheme="minorHAnsi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B28A6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5B28A6"/>
    <w:rPr>
      <w:rFonts w:asciiTheme="minorHAnsi" w:eastAsiaTheme="minorEastAsia" w:hAnsiTheme="minorHAnsi"/>
      <w:color w:val="365F91" w:themeColor="accent1" w:themeShade="BF"/>
      <w:sz w:val="22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1A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145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213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794232674558063E-2"/>
          <c:y val="8.0134241032371004E-2"/>
          <c:w val="0.93834523995758812"/>
          <c:h val="0.62359422737772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Clients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Sheet1!$A$2:$A$16</c:f>
              <c:strCache>
                <c:ptCount val="15"/>
                <c:pt idx="0">
                  <c:v>Fall 2014</c:v>
                </c:pt>
                <c:pt idx="1">
                  <c:v>Spring 2015</c:v>
                </c:pt>
                <c:pt idx="2">
                  <c:v>Summer 2015</c:v>
                </c:pt>
                <c:pt idx="3">
                  <c:v>Fall  2015</c:v>
                </c:pt>
                <c:pt idx="4">
                  <c:v>Spring  2016</c:v>
                </c:pt>
                <c:pt idx="5">
                  <c:v>Summer 2016</c:v>
                </c:pt>
                <c:pt idx="6">
                  <c:v>Fall 2016</c:v>
                </c:pt>
                <c:pt idx="7">
                  <c:v>Spring 2017</c:v>
                </c:pt>
                <c:pt idx="8">
                  <c:v>Summer 2017</c:v>
                </c:pt>
                <c:pt idx="9">
                  <c:v>Fall 2017</c:v>
                </c:pt>
                <c:pt idx="10">
                  <c:v>Spring 2018</c:v>
                </c:pt>
                <c:pt idx="11">
                  <c:v>Summer 2018</c:v>
                </c:pt>
                <c:pt idx="12">
                  <c:v>Fall 2018</c:v>
                </c:pt>
                <c:pt idx="13">
                  <c:v>Spring 2019</c:v>
                </c:pt>
                <c:pt idx="14">
                  <c:v>Summer 2019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843</c:v>
                </c:pt>
                <c:pt idx="1">
                  <c:v>700</c:v>
                </c:pt>
                <c:pt idx="2">
                  <c:v>134</c:v>
                </c:pt>
                <c:pt idx="3">
                  <c:v>643</c:v>
                </c:pt>
                <c:pt idx="4">
                  <c:v>680</c:v>
                </c:pt>
                <c:pt idx="5">
                  <c:v>129</c:v>
                </c:pt>
                <c:pt idx="6">
                  <c:v>782</c:v>
                </c:pt>
                <c:pt idx="7">
                  <c:v>429</c:v>
                </c:pt>
                <c:pt idx="8">
                  <c:v>127</c:v>
                </c:pt>
                <c:pt idx="9">
                  <c:v>638</c:v>
                </c:pt>
                <c:pt idx="10">
                  <c:v>616</c:v>
                </c:pt>
                <c:pt idx="11">
                  <c:v>131</c:v>
                </c:pt>
                <c:pt idx="12">
                  <c:v>542</c:v>
                </c:pt>
                <c:pt idx="13">
                  <c:v>535</c:v>
                </c:pt>
                <c:pt idx="1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1C-44F2-BF63-22CABBF5E4E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Consultations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9665683382497903E-3"/>
                  <c:y val="-7.6712328767123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63-412C-9467-0B78F90937F4}"/>
                </c:ext>
              </c:extLst>
            </c:dLbl>
            <c:dLbl>
              <c:idx val="3"/>
              <c:layout>
                <c:manualLayout>
                  <c:x val="0"/>
                  <c:y val="-6.21004566210045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63-412C-9467-0B78F90937F4}"/>
                </c:ext>
              </c:extLst>
            </c:dLbl>
            <c:dLbl>
              <c:idx val="6"/>
              <c:layout>
                <c:manualLayout>
                  <c:x val="0"/>
                  <c:y val="-6.5753424657534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63-412C-9467-0B78F90937F4}"/>
                </c:ext>
              </c:extLst>
            </c:dLbl>
            <c:dLbl>
              <c:idx val="7"/>
              <c:layout>
                <c:manualLayout>
                  <c:x val="0"/>
                  <c:y val="-7.6712328767123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63-412C-9467-0B78F90937F4}"/>
                </c:ext>
              </c:extLst>
            </c:dLbl>
            <c:dLbl>
              <c:idx val="10"/>
              <c:layout>
                <c:manualLayout>
                  <c:x val="0"/>
                  <c:y val="-5.8997050147492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08-4DCC-A5E3-3E698E80D664}"/>
                </c:ext>
              </c:extLst>
            </c:dLbl>
            <c:dLbl>
              <c:idx val="11"/>
              <c:layout>
                <c:manualLayout>
                  <c:x val="1.9665683382497543E-3"/>
                  <c:y val="-6.5753424657534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63-412C-9467-0B78F90937F4}"/>
                </c:ext>
              </c:extLst>
            </c:dLbl>
            <c:dLbl>
              <c:idx val="14"/>
              <c:layout>
                <c:manualLayout>
                  <c:x val="0"/>
                  <c:y val="-5.84474885844748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63-412C-9467-0B78F90937F4}"/>
                </c:ext>
              </c:extLst>
            </c:dLbl>
            <c:dLbl>
              <c:idx val="15"/>
              <c:layout>
                <c:manualLayout>
                  <c:x val="7.4869408893838537E-8"/>
                  <c:y val="-3.14649385640953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710914454277284E-2"/>
                      <c:h val="6.65024269226620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663-412C-9467-0B78F90937F4}"/>
                </c:ext>
              </c:extLst>
            </c:dLbl>
            <c:dLbl>
              <c:idx val="18"/>
              <c:layout>
                <c:manualLayout>
                  <c:x val="-1.3945514156165288E-16"/>
                  <c:y val="-3.5398230088495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08-4DCC-A5E3-3E698E80D664}"/>
                </c:ext>
              </c:extLst>
            </c:dLbl>
            <c:dLbl>
              <c:idx val="19"/>
              <c:layout>
                <c:manualLayout>
                  <c:x val="1.9016829894456593E-3"/>
                  <c:y val="-3.93313667649950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08-4DCC-A5E3-3E698E80D66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Sheet1!$A$2:$A$16</c:f>
              <c:strCache>
                <c:ptCount val="15"/>
                <c:pt idx="0">
                  <c:v>Fall 2014</c:v>
                </c:pt>
                <c:pt idx="1">
                  <c:v>Spring 2015</c:v>
                </c:pt>
                <c:pt idx="2">
                  <c:v>Summer 2015</c:v>
                </c:pt>
                <c:pt idx="3">
                  <c:v>Fall  2015</c:v>
                </c:pt>
                <c:pt idx="4">
                  <c:v>Spring  2016</c:v>
                </c:pt>
                <c:pt idx="5">
                  <c:v>Summer 2016</c:v>
                </c:pt>
                <c:pt idx="6">
                  <c:v>Fall 2016</c:v>
                </c:pt>
                <c:pt idx="7">
                  <c:v>Spring 2017</c:v>
                </c:pt>
                <c:pt idx="8">
                  <c:v>Summer 2017</c:v>
                </c:pt>
                <c:pt idx="9">
                  <c:v>Fall 2017</c:v>
                </c:pt>
                <c:pt idx="10">
                  <c:v>Spring 2018</c:v>
                </c:pt>
                <c:pt idx="11">
                  <c:v>Summer 2018</c:v>
                </c:pt>
                <c:pt idx="12">
                  <c:v>Fall 2018</c:v>
                </c:pt>
                <c:pt idx="13">
                  <c:v>Spring 2019</c:v>
                </c:pt>
                <c:pt idx="14">
                  <c:v>Summer 2019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1545</c:v>
                </c:pt>
                <c:pt idx="1">
                  <c:v>1297</c:v>
                </c:pt>
                <c:pt idx="2">
                  <c:v>253</c:v>
                </c:pt>
                <c:pt idx="3">
                  <c:v>643</c:v>
                </c:pt>
                <c:pt idx="4">
                  <c:v>1519</c:v>
                </c:pt>
                <c:pt idx="5">
                  <c:v>194</c:v>
                </c:pt>
                <c:pt idx="6">
                  <c:v>1512</c:v>
                </c:pt>
                <c:pt idx="7">
                  <c:v>914</c:v>
                </c:pt>
                <c:pt idx="8">
                  <c:v>304</c:v>
                </c:pt>
                <c:pt idx="9">
                  <c:v>1451</c:v>
                </c:pt>
                <c:pt idx="10">
                  <c:v>1296</c:v>
                </c:pt>
                <c:pt idx="11">
                  <c:v>295</c:v>
                </c:pt>
                <c:pt idx="12">
                  <c:v>1096</c:v>
                </c:pt>
                <c:pt idx="13">
                  <c:v>1112</c:v>
                </c:pt>
                <c:pt idx="14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C-44F2-BF63-22CABBF5E4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843200"/>
        <c:axId val="69849088"/>
      </c:barChart>
      <c:catAx>
        <c:axId val="6984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69849088"/>
        <c:crosses val="autoZero"/>
        <c:auto val="1"/>
        <c:lblAlgn val="ctr"/>
        <c:lblOffset val="100"/>
        <c:noMultiLvlLbl val="0"/>
      </c:catAx>
      <c:valAx>
        <c:axId val="6984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Arial" pitchFamily="34" charset="0"/>
              </a:defRPr>
            </a:pPr>
            <a:endParaRPr lang="en-US"/>
          </a:p>
        </c:txPr>
        <c:crossAx val="69843200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73275777286732435"/>
          <c:y val="1.912860892388453E-2"/>
          <c:w val="0.23737837118186311"/>
          <c:h val="0.1321126092115197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5604E-2"/>
          <c:y val="5.06964369179881E-2"/>
          <c:w val="0.79897461642798007"/>
          <c:h val="0.758416465268574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visit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Fall  15/Spr 16</c:v>
                </c:pt>
                <c:pt idx="2">
                  <c:v>Summer 16</c:v>
                </c:pt>
                <c:pt idx="4">
                  <c:v>Fall 16/Spr 17</c:v>
                </c:pt>
                <c:pt idx="6">
                  <c:v>Summer  17</c:v>
                </c:pt>
                <c:pt idx="8">
                  <c:v>Fall 17/Spr 18</c:v>
                </c:pt>
                <c:pt idx="10">
                  <c:v>Summer 18</c:v>
                </c:pt>
                <c:pt idx="12">
                  <c:v>Fall 18/Spr 19</c:v>
                </c:pt>
                <c:pt idx="14">
                  <c:v>Summer 2019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616</c:v>
                </c:pt>
                <c:pt idx="2">
                  <c:v>74</c:v>
                </c:pt>
                <c:pt idx="4">
                  <c:v>645</c:v>
                </c:pt>
                <c:pt idx="6">
                  <c:v>48</c:v>
                </c:pt>
                <c:pt idx="8">
                  <c:v>461</c:v>
                </c:pt>
                <c:pt idx="10">
                  <c:v>64</c:v>
                </c:pt>
                <c:pt idx="12">
                  <c:v>614</c:v>
                </c:pt>
                <c:pt idx="1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5B-463B-9679-CCD4F9A7F39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2-3 visits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Fall  15/Spr 16</c:v>
                </c:pt>
                <c:pt idx="2">
                  <c:v>Summer 16</c:v>
                </c:pt>
                <c:pt idx="4">
                  <c:v>Fall 16/Spr 17</c:v>
                </c:pt>
                <c:pt idx="6">
                  <c:v>Summer  17</c:v>
                </c:pt>
                <c:pt idx="8">
                  <c:v>Fall 17/Spr 18</c:v>
                </c:pt>
                <c:pt idx="10">
                  <c:v>Summer 18</c:v>
                </c:pt>
                <c:pt idx="12">
                  <c:v>Fall 18/Spr 19</c:v>
                </c:pt>
                <c:pt idx="14">
                  <c:v>Summer 2019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416</c:v>
                </c:pt>
                <c:pt idx="2">
                  <c:v>29</c:v>
                </c:pt>
                <c:pt idx="4">
                  <c:v>441</c:v>
                </c:pt>
                <c:pt idx="6">
                  <c:v>19</c:v>
                </c:pt>
                <c:pt idx="8">
                  <c:v>409</c:v>
                </c:pt>
                <c:pt idx="10">
                  <c:v>45</c:v>
                </c:pt>
                <c:pt idx="12">
                  <c:v>310</c:v>
                </c:pt>
                <c:pt idx="1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5B-463B-9679-CCD4F9A7F39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4-6 visits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Fall  15/Spr 16</c:v>
                </c:pt>
                <c:pt idx="2">
                  <c:v>Summer 16</c:v>
                </c:pt>
                <c:pt idx="4">
                  <c:v>Fall 16/Spr 17</c:v>
                </c:pt>
                <c:pt idx="6">
                  <c:v>Summer  17</c:v>
                </c:pt>
                <c:pt idx="8">
                  <c:v>Fall 17/Spr 18</c:v>
                </c:pt>
                <c:pt idx="10">
                  <c:v>Summer 18</c:v>
                </c:pt>
                <c:pt idx="12">
                  <c:v>Fall 18/Spr 19</c:v>
                </c:pt>
                <c:pt idx="14">
                  <c:v>Summer 2019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117</c:v>
                </c:pt>
                <c:pt idx="2">
                  <c:v>0</c:v>
                </c:pt>
                <c:pt idx="4">
                  <c:v>113</c:v>
                </c:pt>
                <c:pt idx="6">
                  <c:v>17</c:v>
                </c:pt>
                <c:pt idx="8">
                  <c:v>160</c:v>
                </c:pt>
                <c:pt idx="10">
                  <c:v>19</c:v>
                </c:pt>
                <c:pt idx="12">
                  <c:v>121</c:v>
                </c:pt>
                <c:pt idx="1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5B-463B-9679-CCD4F9A7F39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7-9 visits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Fall  15/Spr 16</c:v>
                </c:pt>
                <c:pt idx="2">
                  <c:v>Summer 16</c:v>
                </c:pt>
                <c:pt idx="4">
                  <c:v>Fall 16/Spr 17</c:v>
                </c:pt>
                <c:pt idx="6">
                  <c:v>Summer  17</c:v>
                </c:pt>
                <c:pt idx="8">
                  <c:v>Fall 17/Spr 18</c:v>
                </c:pt>
                <c:pt idx="10">
                  <c:v>Summer 18</c:v>
                </c:pt>
                <c:pt idx="12">
                  <c:v>Fall 18/Spr 19</c:v>
                </c:pt>
                <c:pt idx="14">
                  <c:v>Summer 2019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  <c:pt idx="0">
                  <c:v>13</c:v>
                </c:pt>
                <c:pt idx="2">
                  <c:v>1</c:v>
                </c:pt>
                <c:pt idx="4">
                  <c:v>14</c:v>
                </c:pt>
                <c:pt idx="6">
                  <c:v>14</c:v>
                </c:pt>
                <c:pt idx="8">
                  <c:v>45</c:v>
                </c:pt>
                <c:pt idx="10">
                  <c:v>2</c:v>
                </c:pt>
                <c:pt idx="12">
                  <c:v>21</c:v>
                </c:pt>
                <c:pt idx="1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5B-463B-9679-CCD4F9A7F39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10+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Fall  15/Spr 16</c:v>
                </c:pt>
                <c:pt idx="2">
                  <c:v>Summer 16</c:v>
                </c:pt>
                <c:pt idx="4">
                  <c:v>Fall 16/Spr 17</c:v>
                </c:pt>
                <c:pt idx="6">
                  <c:v>Summer  17</c:v>
                </c:pt>
                <c:pt idx="8">
                  <c:v>Fall 17/Spr 18</c:v>
                </c:pt>
                <c:pt idx="10">
                  <c:v>Summer 18</c:v>
                </c:pt>
                <c:pt idx="12">
                  <c:v>Fall 18/Spr 19</c:v>
                </c:pt>
                <c:pt idx="14">
                  <c:v>Summer 2019</c:v>
                </c:pt>
              </c:strCache>
            </c:strRef>
          </c:cat>
          <c:val>
            <c:numRef>
              <c:f>Sheet1!$F$2:$F$16</c:f>
              <c:numCache>
                <c:formatCode>General</c:formatCode>
                <c:ptCount val="15"/>
                <c:pt idx="0">
                  <c:v>14</c:v>
                </c:pt>
                <c:pt idx="2">
                  <c:v>0</c:v>
                </c:pt>
                <c:pt idx="4">
                  <c:v>7</c:v>
                </c:pt>
                <c:pt idx="6">
                  <c:v>1</c:v>
                </c:pt>
                <c:pt idx="8">
                  <c:v>16</c:v>
                </c:pt>
                <c:pt idx="10">
                  <c:v>1</c:v>
                </c:pt>
                <c:pt idx="12">
                  <c:v>11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5B-463B-9679-CCD4F9A7F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60576"/>
        <c:axId val="27574656"/>
      </c:barChart>
      <c:catAx>
        <c:axId val="2756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74656"/>
        <c:crosses val="autoZero"/>
        <c:auto val="1"/>
        <c:lblAlgn val="ctr"/>
        <c:lblOffset val="100"/>
        <c:noMultiLvlLbl val="0"/>
      </c:catAx>
      <c:valAx>
        <c:axId val="2757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6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</dc:creator>
  <cp:lastModifiedBy>Richards, Kathleen</cp:lastModifiedBy>
  <cp:revision>2</cp:revision>
  <cp:lastPrinted>2016-06-01T21:12:00Z</cp:lastPrinted>
  <dcterms:created xsi:type="dcterms:W3CDTF">2021-08-04T15:43:00Z</dcterms:created>
  <dcterms:modified xsi:type="dcterms:W3CDTF">2021-08-04T15:43:00Z</dcterms:modified>
</cp:coreProperties>
</file>